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CC484" w14:textId="77777777" w:rsidR="009815D4" w:rsidRDefault="00000000">
      <w:pPr>
        <w:keepNext/>
        <w:widowControl w:val="0"/>
        <w:autoSpaceDE w:val="0"/>
        <w:spacing w:after="0"/>
        <w:jc w:val="right"/>
        <w:outlineLvl w:val="1"/>
        <w:rPr>
          <w:rFonts w:ascii="Trebuchet MS" w:eastAsia="Times New Roman" w:hAnsi="Trebuchet MS"/>
          <w:b/>
          <w:kern w:val="0"/>
        </w:rPr>
      </w:pPr>
      <w:bookmarkStart w:id="0" w:name="_Hlk78984509"/>
      <w:r>
        <w:rPr>
          <w:rFonts w:ascii="Trebuchet MS" w:eastAsia="Times New Roman" w:hAnsi="Trebuchet MS"/>
          <w:b/>
          <w:kern w:val="0"/>
        </w:rPr>
        <w:t>Priedas Nr. 4</w:t>
      </w:r>
    </w:p>
    <w:p w14:paraId="166BB6C6" w14:textId="77777777" w:rsidR="009815D4" w:rsidRDefault="009815D4">
      <w:pPr>
        <w:keepNext/>
        <w:widowControl w:val="0"/>
        <w:autoSpaceDE w:val="0"/>
        <w:spacing w:after="0"/>
        <w:jc w:val="right"/>
        <w:outlineLvl w:val="1"/>
        <w:rPr>
          <w:rFonts w:ascii="Trebuchet MS" w:eastAsia="Times New Roman" w:hAnsi="Trebuchet MS"/>
          <w:b/>
          <w:kern w:val="0"/>
        </w:rPr>
      </w:pPr>
    </w:p>
    <w:p w14:paraId="3D4F93F6" w14:textId="77777777" w:rsidR="009815D4" w:rsidRDefault="00000000">
      <w:pPr>
        <w:keepNext/>
        <w:widowControl w:val="0"/>
        <w:autoSpaceDE w:val="0"/>
        <w:spacing w:after="0"/>
        <w:jc w:val="center"/>
        <w:outlineLvl w:val="1"/>
      </w:pPr>
      <w:r>
        <w:rPr>
          <w:rFonts w:ascii="Trebuchet MS" w:eastAsia="Calibri" w:hAnsi="Trebuchet MS" w:cs="Calibri"/>
          <w:b/>
          <w:bCs/>
          <w:lang w:eastAsia="lt-LT"/>
        </w:rPr>
        <w:t>Detalus statybos (rangos) darbų aprašymas</w:t>
      </w:r>
      <w:r>
        <w:rPr>
          <w:rFonts w:ascii="Trebuchet MS" w:eastAsia="Calibri" w:hAnsi="Trebuchet MS" w:cs="Calibri"/>
          <w:b/>
          <w:bCs/>
          <w:color w:val="000000"/>
          <w:lang w:eastAsia="lt-LT"/>
        </w:rPr>
        <w:t xml:space="preserve"> </w:t>
      </w:r>
    </w:p>
    <w:p w14:paraId="30EC0987" w14:textId="77777777" w:rsidR="009815D4" w:rsidRDefault="00000000">
      <w:pPr>
        <w:keepNext/>
        <w:widowControl w:val="0"/>
        <w:autoSpaceDE w:val="0"/>
        <w:spacing w:after="0"/>
        <w:jc w:val="center"/>
        <w:outlineLvl w:val="1"/>
      </w:pPr>
      <w:r>
        <w:rPr>
          <w:rFonts w:ascii="Trebuchet MS" w:eastAsia="Calibri" w:hAnsi="Trebuchet MS" w:cs="Calibri"/>
          <w:b/>
          <w:bCs/>
          <w:lang w:eastAsia="lt-LT"/>
        </w:rPr>
        <w:t xml:space="preserve">"110/35/10 </w:t>
      </w:r>
      <w:proofErr w:type="spellStart"/>
      <w:r>
        <w:rPr>
          <w:rFonts w:ascii="Trebuchet MS" w:eastAsia="Calibri" w:hAnsi="Trebuchet MS" w:cs="Calibri"/>
          <w:b/>
          <w:bCs/>
          <w:lang w:eastAsia="lt-LT"/>
        </w:rPr>
        <w:t>kV</w:t>
      </w:r>
      <w:proofErr w:type="spellEnd"/>
      <w:r>
        <w:rPr>
          <w:rFonts w:ascii="Trebuchet MS" w:eastAsia="Calibri" w:hAnsi="Trebuchet MS" w:cs="Calibri"/>
          <w:b/>
          <w:bCs/>
          <w:lang w:eastAsia="lt-LT"/>
        </w:rPr>
        <w:t xml:space="preserve"> </w:t>
      </w:r>
      <w:proofErr w:type="spellStart"/>
      <w:r>
        <w:rPr>
          <w:rFonts w:ascii="Trebuchet MS" w:eastAsia="Calibri" w:hAnsi="Trebuchet MS" w:cs="Calibri"/>
          <w:b/>
          <w:bCs/>
          <w:lang w:eastAsia="lt-LT"/>
        </w:rPr>
        <w:t>Jašiūnų</w:t>
      </w:r>
      <w:proofErr w:type="spellEnd"/>
      <w:r>
        <w:rPr>
          <w:rFonts w:ascii="Trebuchet MS" w:eastAsia="Calibri" w:hAnsi="Trebuchet MS" w:cs="Calibri"/>
          <w:b/>
          <w:bCs/>
          <w:lang w:eastAsia="lt-LT"/>
        </w:rPr>
        <w:t xml:space="preserve"> TP 110 </w:t>
      </w:r>
      <w:proofErr w:type="spellStart"/>
      <w:r>
        <w:rPr>
          <w:rFonts w:ascii="Trebuchet MS" w:eastAsia="Calibri" w:hAnsi="Trebuchet MS" w:cs="Calibri"/>
          <w:b/>
          <w:bCs/>
          <w:lang w:eastAsia="lt-LT"/>
        </w:rPr>
        <w:t>kV</w:t>
      </w:r>
      <w:proofErr w:type="spellEnd"/>
      <w:r>
        <w:rPr>
          <w:rFonts w:ascii="Trebuchet MS" w:eastAsia="Calibri" w:hAnsi="Trebuchet MS" w:cs="Calibri"/>
          <w:b/>
          <w:bCs/>
          <w:lang w:eastAsia="lt-LT"/>
        </w:rPr>
        <w:t xml:space="preserve"> skirstyklos inžinerinių tinklų rekonstravimas, jų priklausinių ir inžinerinių tinklų statyba, Šalčininkų r. sav., </w:t>
      </w:r>
      <w:proofErr w:type="spellStart"/>
      <w:r>
        <w:rPr>
          <w:rFonts w:ascii="Trebuchet MS" w:eastAsia="Calibri" w:hAnsi="Trebuchet MS" w:cs="Calibri"/>
          <w:b/>
          <w:bCs/>
          <w:lang w:eastAsia="lt-LT"/>
        </w:rPr>
        <w:t>Jašiūnai</w:t>
      </w:r>
      <w:proofErr w:type="spellEnd"/>
      <w:r>
        <w:rPr>
          <w:rFonts w:ascii="Trebuchet MS" w:eastAsia="Calibri" w:hAnsi="Trebuchet MS" w:cs="Calibri"/>
          <w:b/>
          <w:bCs/>
          <w:lang w:eastAsia="lt-LT"/>
        </w:rPr>
        <w:t>, Popierinės g. 5A"</w:t>
      </w:r>
    </w:p>
    <w:p w14:paraId="6A364C9E" w14:textId="77777777" w:rsidR="009815D4" w:rsidRDefault="009815D4">
      <w:pPr>
        <w:widowControl w:val="0"/>
        <w:autoSpaceDE w:val="0"/>
        <w:spacing w:after="0"/>
        <w:ind w:left="142" w:right="140" w:firstLine="425"/>
        <w:jc w:val="both"/>
        <w:rPr>
          <w:rFonts w:ascii="Trebuchet MS" w:eastAsia="Times New Roman" w:hAnsi="Trebuchet MS" w:cs="Times New Roman"/>
          <w:kern w:val="0"/>
          <w:sz w:val="20"/>
          <w:szCs w:val="20"/>
        </w:rPr>
      </w:pPr>
    </w:p>
    <w:bookmarkEnd w:id="0"/>
    <w:p w14:paraId="40263BAA" w14:textId="77777777" w:rsidR="009815D4" w:rsidRDefault="00000000">
      <w:pPr>
        <w:widowControl w:val="0"/>
        <w:tabs>
          <w:tab w:val="left" w:pos="9923"/>
        </w:tabs>
        <w:autoSpaceDE w:val="0"/>
        <w:spacing w:after="0"/>
        <w:ind w:left="142" w:right="141" w:firstLine="425"/>
        <w:jc w:val="both"/>
        <w:rPr>
          <w:rFonts w:ascii="Trebuchet MS" w:eastAsia="Times New Roman" w:hAnsi="Trebuchet MS"/>
          <w:kern w:val="0"/>
          <w:sz w:val="20"/>
          <w:szCs w:val="20"/>
        </w:rPr>
      </w:pPr>
      <w:r>
        <w:rPr>
          <w:rFonts w:ascii="Trebuchet MS" w:eastAsia="Times New Roman" w:hAnsi="Trebuchet MS"/>
          <w:kern w:val="0"/>
          <w:sz w:val="20"/>
          <w:szCs w:val="20"/>
        </w:rPr>
        <w:t xml:space="preserve">110/35/10 </w:t>
      </w:r>
      <w:proofErr w:type="spellStart"/>
      <w:r>
        <w:rPr>
          <w:rFonts w:ascii="Trebuchet MS" w:eastAsia="Times New Roman" w:hAnsi="Trebuchet MS"/>
          <w:kern w:val="0"/>
          <w:sz w:val="20"/>
          <w:szCs w:val="20"/>
        </w:rPr>
        <w:t>kV</w:t>
      </w:r>
      <w:proofErr w:type="spellEnd"/>
      <w:r>
        <w:rPr>
          <w:rFonts w:ascii="Trebuchet MS" w:eastAsia="Times New Roman" w:hAnsi="Trebuchet MS"/>
          <w:kern w:val="0"/>
          <w:sz w:val="20"/>
          <w:szCs w:val="20"/>
        </w:rPr>
        <w:t xml:space="preserve"> </w:t>
      </w:r>
      <w:proofErr w:type="spellStart"/>
      <w:r>
        <w:rPr>
          <w:rFonts w:ascii="Trebuchet MS" w:eastAsia="Times New Roman" w:hAnsi="Trebuchet MS"/>
          <w:kern w:val="0"/>
          <w:sz w:val="20"/>
          <w:szCs w:val="20"/>
        </w:rPr>
        <w:t>Jašiūnų</w:t>
      </w:r>
      <w:proofErr w:type="spellEnd"/>
      <w:r>
        <w:rPr>
          <w:rFonts w:ascii="Trebuchet MS" w:eastAsia="Times New Roman" w:hAnsi="Trebuchet MS"/>
          <w:kern w:val="0"/>
          <w:sz w:val="20"/>
          <w:szCs w:val="20"/>
        </w:rPr>
        <w:t xml:space="preserve"> TP 110 </w:t>
      </w:r>
      <w:proofErr w:type="spellStart"/>
      <w:r>
        <w:rPr>
          <w:rFonts w:ascii="Trebuchet MS" w:eastAsia="Times New Roman" w:hAnsi="Trebuchet MS"/>
          <w:kern w:val="0"/>
          <w:sz w:val="20"/>
          <w:szCs w:val="20"/>
        </w:rPr>
        <w:t>kV</w:t>
      </w:r>
      <w:proofErr w:type="spellEnd"/>
      <w:r>
        <w:rPr>
          <w:rFonts w:ascii="Trebuchet MS" w:eastAsia="Times New Roman" w:hAnsi="Trebuchet MS"/>
          <w:kern w:val="0"/>
          <w:sz w:val="20"/>
          <w:szCs w:val="20"/>
        </w:rPr>
        <w:t xml:space="preserve"> skirstyklos rekonstravimas numatomas 2 statybos etapais, vadovaujantis principu, jog veikiantys elektros įrenginiai būtų atjungiami minimaliomis apimtimis ir terminais, reikalingais saugiai vykdyti statybos darbus. </w:t>
      </w:r>
    </w:p>
    <w:p w14:paraId="15CBC2AD" w14:textId="77777777" w:rsidR="009815D4" w:rsidRDefault="00000000">
      <w:pPr>
        <w:widowControl w:val="0"/>
        <w:tabs>
          <w:tab w:val="left" w:pos="9923"/>
        </w:tabs>
        <w:autoSpaceDE w:val="0"/>
        <w:spacing w:after="0"/>
        <w:ind w:left="142" w:right="141" w:firstLine="425"/>
        <w:jc w:val="both"/>
        <w:rPr>
          <w:rFonts w:ascii="Trebuchet MS" w:eastAsia="Times New Roman" w:hAnsi="Trebuchet MS"/>
          <w:kern w:val="0"/>
          <w:sz w:val="20"/>
          <w:szCs w:val="20"/>
        </w:rPr>
      </w:pPr>
      <w:r>
        <w:rPr>
          <w:rFonts w:ascii="Trebuchet MS" w:eastAsia="Times New Roman" w:hAnsi="Trebuchet MS"/>
          <w:kern w:val="0"/>
          <w:sz w:val="20"/>
          <w:szCs w:val="20"/>
        </w:rPr>
        <w:t xml:space="preserve">Paslaugos tiekėjas (toliau – Rangovas) yra atsakingas už projekto darbų vykdymo grafiko bei objekto rekonstrukcijos detalaus darbų–atjungimo grafiko parengimą ir raštišką suderinimą su perdavimo sistemos operatoriumi (PSO), skirstymo tinklo operatoriumi (STO), bei su suinteresuotomis trečiosiomis šalimis, išdavusiomis prijungimo ar projektavimo sąlygas. Darbų–atjungimų grafikas parengiamas ir suderinamas ne vėliau kaip per 30 kalendorinių dienų iki numatomų fizinių rangos darbų objekte pradžios. </w:t>
      </w:r>
    </w:p>
    <w:p w14:paraId="44F81920" w14:textId="77777777" w:rsidR="009815D4" w:rsidRDefault="009815D4">
      <w:pPr>
        <w:widowControl w:val="0"/>
        <w:tabs>
          <w:tab w:val="left" w:pos="9923"/>
        </w:tabs>
        <w:autoSpaceDE w:val="0"/>
        <w:spacing w:after="0"/>
        <w:ind w:left="142" w:right="141" w:firstLine="425"/>
        <w:jc w:val="both"/>
        <w:rPr>
          <w:rFonts w:ascii="Trebuchet MS" w:eastAsia="Times New Roman" w:hAnsi="Trebuchet MS"/>
          <w:kern w:val="0"/>
          <w:sz w:val="20"/>
          <w:szCs w:val="20"/>
        </w:rPr>
      </w:pPr>
    </w:p>
    <w:p w14:paraId="7CE8B5E4" w14:textId="77777777" w:rsidR="009815D4" w:rsidRDefault="00000000">
      <w:pPr>
        <w:widowControl w:val="0"/>
        <w:tabs>
          <w:tab w:val="left" w:pos="9923"/>
        </w:tabs>
        <w:autoSpaceDE w:val="0"/>
        <w:spacing w:after="0"/>
        <w:ind w:left="142" w:right="141" w:firstLine="425"/>
        <w:jc w:val="both"/>
        <w:rPr>
          <w:rFonts w:ascii="Trebuchet MS" w:eastAsia="Times New Roman" w:hAnsi="Trebuchet MS"/>
          <w:kern w:val="0"/>
          <w:sz w:val="20"/>
          <w:szCs w:val="20"/>
        </w:rPr>
      </w:pPr>
      <w:r>
        <w:rPr>
          <w:rFonts w:ascii="Trebuchet MS" w:eastAsia="Times New Roman" w:hAnsi="Trebuchet MS"/>
          <w:kern w:val="0"/>
          <w:sz w:val="20"/>
          <w:szCs w:val="20"/>
        </w:rPr>
        <w:t>Žemiau 1 lentelėje pateikiamas statybos (rangos) darbų aprašymas:</w:t>
      </w:r>
    </w:p>
    <w:p w14:paraId="0696E0CC" w14:textId="77777777" w:rsidR="009815D4" w:rsidRDefault="00000000">
      <w:pPr>
        <w:widowControl w:val="0"/>
        <w:tabs>
          <w:tab w:val="left" w:pos="9923"/>
        </w:tabs>
        <w:autoSpaceDE w:val="0"/>
        <w:spacing w:after="0"/>
        <w:ind w:left="142" w:right="141" w:firstLine="425"/>
        <w:jc w:val="right"/>
        <w:rPr>
          <w:rFonts w:ascii="Trebuchet MS" w:eastAsia="Times New Roman" w:hAnsi="Trebuchet MS"/>
          <w:kern w:val="0"/>
          <w:sz w:val="20"/>
          <w:szCs w:val="20"/>
        </w:rPr>
      </w:pPr>
      <w:r>
        <w:rPr>
          <w:rFonts w:ascii="Trebuchet MS" w:eastAsia="Times New Roman" w:hAnsi="Trebuchet MS"/>
          <w:kern w:val="0"/>
          <w:sz w:val="20"/>
          <w:szCs w:val="20"/>
        </w:rPr>
        <w:t>1 lentelė.</w:t>
      </w:r>
    </w:p>
    <w:tbl>
      <w:tblPr>
        <w:tblW w:w="5000" w:type="pct"/>
        <w:tblLayout w:type="fixed"/>
        <w:tblCellMar>
          <w:left w:w="10" w:type="dxa"/>
          <w:right w:w="10" w:type="dxa"/>
        </w:tblCellMar>
        <w:tblLook w:val="04A0" w:firstRow="1" w:lastRow="0" w:firstColumn="1" w:lastColumn="0" w:noHBand="0" w:noVBand="1"/>
      </w:tblPr>
      <w:tblGrid>
        <w:gridCol w:w="8217"/>
        <w:gridCol w:w="2312"/>
      </w:tblGrid>
      <w:tr w:rsidR="009815D4" w14:paraId="49AD833B" w14:textId="77777777">
        <w:tblPrEx>
          <w:tblCellMar>
            <w:top w:w="0" w:type="dxa"/>
            <w:bottom w:w="0" w:type="dxa"/>
          </w:tblCellMar>
        </w:tblPrEx>
        <w:trPr>
          <w:trHeight w:val="288"/>
        </w:trPr>
        <w:tc>
          <w:tcPr>
            <w:tcW w:w="8217" w:type="dxa"/>
            <w:tcBorders>
              <w:top w:val="single"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vAlign w:val="bottom"/>
          </w:tcPr>
          <w:p w14:paraId="653A940D" w14:textId="77777777" w:rsidR="009815D4" w:rsidRDefault="00000000">
            <w:pPr>
              <w:suppressAutoHyphens w:val="0"/>
              <w:spacing w:after="0"/>
              <w:jc w:val="center"/>
              <w:rPr>
                <w:rFonts w:ascii="Trebuchet MS" w:eastAsia="Times New Roman" w:hAnsi="Trebuchet MS" w:cs="Calibri"/>
                <w:b/>
                <w:bCs/>
                <w:color w:val="000000"/>
                <w:kern w:val="0"/>
                <w:sz w:val="20"/>
                <w:szCs w:val="20"/>
                <w:lang w:eastAsia="lt-LT"/>
              </w:rPr>
            </w:pPr>
            <w:r>
              <w:rPr>
                <w:rFonts w:ascii="Trebuchet MS" w:eastAsia="Times New Roman" w:hAnsi="Trebuchet MS" w:cs="Calibri"/>
                <w:b/>
                <w:bCs/>
                <w:color w:val="000000"/>
                <w:kern w:val="0"/>
                <w:sz w:val="20"/>
                <w:szCs w:val="20"/>
                <w:lang w:eastAsia="lt-LT"/>
              </w:rPr>
              <w:t>Atliekamų statybos (rangos) darbų pavadinimas/apibūdinimas</w:t>
            </w:r>
          </w:p>
        </w:tc>
        <w:tc>
          <w:tcPr>
            <w:tcW w:w="2312" w:type="dxa"/>
            <w:tcBorders>
              <w:top w:val="single" w:sz="4" w:space="0" w:color="000000"/>
              <w:bottom w:val="single" w:sz="4" w:space="0" w:color="000000"/>
              <w:right w:val="single" w:sz="4" w:space="0" w:color="000000"/>
            </w:tcBorders>
            <w:shd w:val="clear" w:color="auto" w:fill="808080"/>
            <w:noWrap/>
            <w:tcMar>
              <w:top w:w="0" w:type="dxa"/>
              <w:left w:w="108" w:type="dxa"/>
              <w:bottom w:w="0" w:type="dxa"/>
              <w:right w:w="108" w:type="dxa"/>
            </w:tcMar>
            <w:vAlign w:val="center"/>
          </w:tcPr>
          <w:p w14:paraId="134E9B6E" w14:textId="77777777" w:rsidR="009815D4" w:rsidRDefault="00000000">
            <w:pPr>
              <w:suppressAutoHyphens w:val="0"/>
              <w:spacing w:after="0"/>
              <w:jc w:val="center"/>
              <w:rPr>
                <w:rFonts w:ascii="Trebuchet MS" w:eastAsia="Times New Roman" w:hAnsi="Trebuchet MS" w:cs="Calibri"/>
                <w:b/>
                <w:bCs/>
                <w:color w:val="000000"/>
                <w:kern w:val="0"/>
                <w:sz w:val="20"/>
                <w:szCs w:val="20"/>
                <w:lang w:eastAsia="lt-LT"/>
              </w:rPr>
            </w:pPr>
            <w:r>
              <w:rPr>
                <w:rFonts w:ascii="Trebuchet MS" w:eastAsia="Times New Roman" w:hAnsi="Trebuchet MS" w:cs="Calibri"/>
                <w:b/>
                <w:bCs/>
                <w:color w:val="000000"/>
                <w:kern w:val="0"/>
                <w:sz w:val="20"/>
                <w:szCs w:val="20"/>
                <w:lang w:eastAsia="lt-LT"/>
              </w:rPr>
              <w:t>Rangos darbų statusas</w:t>
            </w:r>
          </w:p>
        </w:tc>
      </w:tr>
      <w:tr w:rsidR="009815D4" w14:paraId="5C8FFBD0" w14:textId="77777777">
        <w:tblPrEx>
          <w:tblCellMar>
            <w:top w:w="0" w:type="dxa"/>
            <w:bottom w:w="0" w:type="dxa"/>
          </w:tblCellMar>
        </w:tblPrEx>
        <w:trPr>
          <w:trHeight w:val="288"/>
        </w:trPr>
        <w:tc>
          <w:tcPr>
            <w:tcW w:w="10529"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bottom"/>
          </w:tcPr>
          <w:p w14:paraId="20905816" w14:textId="77777777" w:rsidR="009815D4" w:rsidRDefault="00000000">
            <w:pPr>
              <w:suppressAutoHyphens w:val="0"/>
              <w:spacing w:after="0"/>
              <w:jc w:val="center"/>
              <w:rPr>
                <w:rFonts w:ascii="Trebuchet MS" w:eastAsia="Times New Roman" w:hAnsi="Trebuchet MS" w:cs="Calibri"/>
                <w:b/>
                <w:bCs/>
                <w:color w:val="000000"/>
                <w:kern w:val="0"/>
                <w:sz w:val="20"/>
                <w:szCs w:val="20"/>
                <w:lang w:eastAsia="lt-LT"/>
              </w:rPr>
            </w:pPr>
            <w:bookmarkStart w:id="1" w:name="RANGE!B2"/>
            <w:r>
              <w:rPr>
                <w:rFonts w:ascii="Trebuchet MS" w:eastAsia="Times New Roman" w:hAnsi="Trebuchet MS" w:cs="Calibri"/>
                <w:b/>
                <w:bCs/>
                <w:color w:val="000000"/>
                <w:kern w:val="0"/>
                <w:sz w:val="20"/>
                <w:szCs w:val="20"/>
                <w:lang w:eastAsia="lt-LT"/>
              </w:rPr>
              <w:t xml:space="preserve">I. Rangos darbai I etapas </w:t>
            </w:r>
            <w:bookmarkEnd w:id="1"/>
          </w:p>
        </w:tc>
      </w:tr>
      <w:tr w:rsidR="009815D4" w14:paraId="430D6FC0" w14:textId="77777777">
        <w:tblPrEx>
          <w:tblCellMar>
            <w:top w:w="0" w:type="dxa"/>
            <w:bottom w:w="0" w:type="dxa"/>
          </w:tblCellMar>
        </w:tblPrEx>
        <w:trPr>
          <w:trHeight w:val="288"/>
        </w:trPr>
        <w:tc>
          <w:tcPr>
            <w:tcW w:w="105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bottom"/>
          </w:tcPr>
          <w:p w14:paraId="1ABC40C4" w14:textId="77777777" w:rsidR="009815D4" w:rsidRDefault="00000000">
            <w:pPr>
              <w:suppressAutoHyphens w:val="0"/>
              <w:spacing w:after="0"/>
              <w:jc w:val="center"/>
              <w:rPr>
                <w:rFonts w:ascii="Trebuchet MS" w:eastAsia="Times New Roman" w:hAnsi="Trebuchet MS" w:cs="Calibri"/>
                <w:b/>
                <w:bCs/>
                <w:i/>
                <w:iCs/>
                <w:color w:val="000000"/>
                <w:kern w:val="0"/>
                <w:sz w:val="20"/>
                <w:szCs w:val="20"/>
                <w:u w:val="single"/>
                <w:lang w:eastAsia="lt-LT"/>
              </w:rPr>
            </w:pPr>
            <w:r>
              <w:rPr>
                <w:rFonts w:ascii="Trebuchet MS" w:eastAsia="Times New Roman" w:hAnsi="Trebuchet MS" w:cs="Calibri"/>
                <w:b/>
                <w:bCs/>
                <w:i/>
                <w:iCs/>
                <w:color w:val="000000"/>
                <w:kern w:val="0"/>
                <w:sz w:val="20"/>
                <w:szCs w:val="20"/>
                <w:u w:val="single"/>
                <w:lang w:eastAsia="lt-LT"/>
              </w:rPr>
              <w:t>Paruošiamieji darbai neatjungiant įtampos</w:t>
            </w:r>
          </w:p>
        </w:tc>
      </w:tr>
      <w:tr w:rsidR="009815D4" w14:paraId="5B1B57BF" w14:textId="77777777">
        <w:tblPrEx>
          <w:tblCellMar>
            <w:top w:w="0" w:type="dxa"/>
            <w:bottom w:w="0" w:type="dxa"/>
          </w:tblCellMar>
        </w:tblPrEx>
        <w:trPr>
          <w:trHeight w:val="864"/>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7584FCB4" w14:textId="77777777" w:rsidR="009815D4" w:rsidRDefault="00000000">
            <w:pPr>
              <w:suppressAutoHyphens w:val="0"/>
              <w:spacing w:after="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 xml:space="preserve">1.     Esant poreikiui, dėl laikinų schemų įgyvendinimo, prieš darbų pradžią (kiekvieno etapo pradžią) LITGRID AB Rangovas parengia detalizuotus laikinių sujungimų technologinius projektinius sprendinius (schemas ir / ar kitus reikiamus brėžinius) ir juos suderina su AB ESO ir LITGRID AB. </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09DF6B12" w14:textId="77777777" w:rsidR="009815D4" w:rsidRDefault="00000000">
            <w:pPr>
              <w:suppressAutoHyphens w:val="0"/>
              <w:spacing w:after="0"/>
              <w:jc w:val="center"/>
            </w:pPr>
            <w:r>
              <w:rPr>
                <w:rFonts w:ascii="Trebuchet MS" w:eastAsia="Times New Roman" w:hAnsi="Trebuchet MS" w:cs="Calibri"/>
                <w:color w:val="000000"/>
                <w:kern w:val="0"/>
                <w:sz w:val="20"/>
                <w:szCs w:val="20"/>
                <w:lang w:eastAsia="lt-LT"/>
              </w:rPr>
              <w:t>neatlikta</w:t>
            </w:r>
          </w:p>
        </w:tc>
      </w:tr>
      <w:tr w:rsidR="009815D4" w14:paraId="3673075F" w14:textId="77777777">
        <w:tblPrEx>
          <w:tblCellMar>
            <w:top w:w="0" w:type="dxa"/>
            <w:bottom w:w="0" w:type="dxa"/>
          </w:tblCellMar>
        </w:tblPrEx>
        <w:trPr>
          <w:trHeight w:val="288"/>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43021BCB" w14:textId="77777777" w:rsidR="009815D4" w:rsidRDefault="00000000">
            <w:pPr>
              <w:suppressAutoHyphens w:val="0"/>
              <w:spacing w:after="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2.     Pasirašomas teritorijos priėmimo–perdavimo aktas.</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42F119AE"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neatlikta</w:t>
            </w:r>
          </w:p>
        </w:tc>
      </w:tr>
      <w:tr w:rsidR="009815D4" w14:paraId="76E7AC3F" w14:textId="77777777">
        <w:tblPrEx>
          <w:tblCellMar>
            <w:top w:w="0" w:type="dxa"/>
            <w:bottom w:w="0" w:type="dxa"/>
          </w:tblCellMar>
        </w:tblPrEx>
        <w:trPr>
          <w:trHeight w:val="288"/>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75EE9536" w14:textId="77777777" w:rsidR="009815D4" w:rsidRDefault="00000000">
            <w:pPr>
              <w:suppressAutoHyphens w:val="0"/>
              <w:spacing w:after="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3.     Darbo vietos paruošimas. Sumontuojami atitvarai, skirti atitverti darbų zoną nuo veikiančių įrenginių.</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5CDF2051"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neatlikta</w:t>
            </w:r>
          </w:p>
        </w:tc>
      </w:tr>
      <w:tr w:rsidR="009815D4" w14:paraId="7E40D638" w14:textId="77777777">
        <w:tblPrEx>
          <w:tblCellMar>
            <w:top w:w="0" w:type="dxa"/>
            <w:bottom w:w="0" w:type="dxa"/>
          </w:tblCellMar>
        </w:tblPrEx>
        <w:trPr>
          <w:trHeight w:val="288"/>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30C7F183" w14:textId="77777777" w:rsidR="009815D4" w:rsidRDefault="00000000">
            <w:pPr>
              <w:suppressAutoHyphens w:val="0"/>
              <w:spacing w:after="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4.     Atliekamas žemės sklypo ribų ženklinimas.</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0188F58D" w14:textId="77777777" w:rsidR="009815D4" w:rsidRDefault="00000000">
            <w:pPr>
              <w:suppressAutoHyphens w:val="0"/>
              <w:spacing w:after="0"/>
              <w:jc w:val="center"/>
            </w:pPr>
            <w:r>
              <w:rPr>
                <w:rFonts w:ascii="Trebuchet MS" w:eastAsia="Times New Roman" w:hAnsi="Trebuchet MS" w:cs="Calibri"/>
                <w:color w:val="000000"/>
                <w:kern w:val="0"/>
                <w:sz w:val="20"/>
                <w:szCs w:val="20"/>
                <w:lang w:eastAsia="lt-LT"/>
              </w:rPr>
              <w:t>atlikta</w:t>
            </w:r>
          </w:p>
        </w:tc>
      </w:tr>
      <w:tr w:rsidR="009815D4" w14:paraId="47FB6E44" w14:textId="77777777">
        <w:tblPrEx>
          <w:tblCellMar>
            <w:top w:w="0" w:type="dxa"/>
            <w:bottom w:w="0" w:type="dxa"/>
          </w:tblCellMar>
        </w:tblPrEx>
        <w:trPr>
          <w:trHeight w:val="288"/>
        </w:trPr>
        <w:tc>
          <w:tcPr>
            <w:tcW w:w="105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bottom"/>
          </w:tcPr>
          <w:p w14:paraId="186724CC" w14:textId="77777777" w:rsidR="009815D4" w:rsidRDefault="00000000">
            <w:pPr>
              <w:suppressAutoHyphens w:val="0"/>
              <w:spacing w:after="0"/>
              <w:jc w:val="center"/>
              <w:rPr>
                <w:rFonts w:ascii="Trebuchet MS" w:eastAsia="Times New Roman" w:hAnsi="Trebuchet MS" w:cs="Calibri"/>
                <w:b/>
                <w:bCs/>
                <w:i/>
                <w:iCs/>
                <w:color w:val="000000"/>
                <w:kern w:val="0"/>
                <w:sz w:val="20"/>
                <w:szCs w:val="20"/>
                <w:u w:val="single"/>
                <w:lang w:eastAsia="lt-LT"/>
              </w:rPr>
            </w:pPr>
            <w:bookmarkStart w:id="2" w:name="RANGE!B23"/>
            <w:r>
              <w:rPr>
                <w:rFonts w:ascii="Trebuchet MS" w:eastAsia="Times New Roman" w:hAnsi="Trebuchet MS" w:cs="Calibri"/>
                <w:b/>
                <w:bCs/>
                <w:i/>
                <w:iCs/>
                <w:color w:val="000000"/>
                <w:kern w:val="0"/>
                <w:sz w:val="20"/>
                <w:szCs w:val="20"/>
                <w:u w:val="single"/>
                <w:lang w:eastAsia="lt-LT"/>
              </w:rPr>
              <w:t xml:space="preserve">I statybos etapas </w:t>
            </w:r>
            <w:bookmarkEnd w:id="2"/>
          </w:p>
        </w:tc>
      </w:tr>
      <w:tr w:rsidR="009815D4" w14:paraId="08FBA37F" w14:textId="77777777">
        <w:tblPrEx>
          <w:tblCellMar>
            <w:top w:w="0" w:type="dxa"/>
            <w:bottom w:w="0" w:type="dxa"/>
          </w:tblCellMar>
        </w:tblPrEx>
        <w:trPr>
          <w:trHeight w:val="288"/>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13C1FD79" w14:textId="77777777" w:rsidR="009815D4" w:rsidRDefault="00000000">
            <w:pPr>
              <w:pStyle w:val="ListParagraph"/>
              <w:numPr>
                <w:ilvl w:val="0"/>
                <w:numId w:val="1"/>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Įrengiami atitvarai nuo veikiančių įrenginių. Atliekant kėlimo darbus laikomasi saugaus atstumo nuo veikiančių įrenginių;</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1425CB79"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atlikta</w:t>
            </w:r>
          </w:p>
        </w:tc>
      </w:tr>
      <w:tr w:rsidR="009815D4" w14:paraId="3175D286" w14:textId="77777777">
        <w:tblPrEx>
          <w:tblCellMar>
            <w:top w:w="0" w:type="dxa"/>
            <w:bottom w:w="0" w:type="dxa"/>
          </w:tblCellMar>
        </w:tblPrEx>
        <w:trPr>
          <w:trHeight w:val="44"/>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38BBFE01" w14:textId="77777777" w:rsidR="009815D4" w:rsidRDefault="00000000">
            <w:pPr>
              <w:pStyle w:val="ListParagraph"/>
              <w:numPr>
                <w:ilvl w:val="0"/>
                <w:numId w:val="1"/>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 xml:space="preserve">Atjungiama 110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OL Vilnius – </w:t>
            </w:r>
            <w:proofErr w:type="spellStart"/>
            <w:r>
              <w:rPr>
                <w:rFonts w:ascii="Trebuchet MS" w:eastAsia="Times New Roman" w:hAnsi="Trebuchet MS" w:cs="Calibri"/>
                <w:color w:val="000000"/>
                <w:kern w:val="0"/>
                <w:sz w:val="20"/>
                <w:szCs w:val="20"/>
                <w:lang w:eastAsia="lt-LT"/>
              </w:rPr>
              <w:t>Jašiūnai</w:t>
            </w:r>
            <w:proofErr w:type="spellEnd"/>
            <w:r>
              <w:rPr>
                <w:rFonts w:ascii="Trebuchet MS" w:eastAsia="Times New Roman" w:hAnsi="Trebuchet MS" w:cs="Calibri"/>
                <w:color w:val="000000"/>
                <w:kern w:val="0"/>
                <w:sz w:val="20"/>
                <w:szCs w:val="20"/>
                <w:lang w:eastAsia="lt-LT"/>
              </w:rPr>
              <w:t xml:space="preserve">, </w:t>
            </w:r>
            <w:proofErr w:type="spellStart"/>
            <w:r>
              <w:rPr>
                <w:rFonts w:ascii="Trebuchet MS" w:eastAsia="Times New Roman" w:hAnsi="Trebuchet MS" w:cs="Calibri"/>
                <w:color w:val="000000"/>
                <w:kern w:val="0"/>
                <w:sz w:val="20"/>
                <w:szCs w:val="20"/>
                <w:lang w:eastAsia="lt-LT"/>
              </w:rPr>
              <w:t>Jašiūnų</w:t>
            </w:r>
            <w:proofErr w:type="spellEnd"/>
            <w:r>
              <w:rPr>
                <w:rFonts w:ascii="Trebuchet MS" w:eastAsia="Times New Roman" w:hAnsi="Trebuchet MS" w:cs="Calibri"/>
                <w:color w:val="000000"/>
                <w:kern w:val="0"/>
                <w:sz w:val="20"/>
                <w:szCs w:val="20"/>
                <w:lang w:eastAsia="lt-LT"/>
              </w:rPr>
              <w:t xml:space="preserve"> TP T-101, Š1-110 ir TL-100-2;</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1F0C2F0D"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atlikta</w:t>
            </w:r>
          </w:p>
        </w:tc>
      </w:tr>
      <w:tr w:rsidR="009815D4" w14:paraId="29F49622" w14:textId="77777777">
        <w:tblPrEx>
          <w:tblCellMar>
            <w:top w:w="0" w:type="dxa"/>
            <w:bottom w:w="0" w:type="dxa"/>
          </w:tblCellMar>
        </w:tblPrEx>
        <w:trPr>
          <w:trHeight w:val="268"/>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101A3F7E" w14:textId="77777777" w:rsidR="009815D4" w:rsidRDefault="00000000">
            <w:pPr>
              <w:pStyle w:val="ListParagraph"/>
              <w:numPr>
                <w:ilvl w:val="0"/>
                <w:numId w:val="1"/>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Išmontuojami laidai nuo galinės atramos Nr.1/166 iki esamo portalo. Išmontuojamos jungtys tarp TL-100-1 ir TL-100-2;</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5A026BF6" w14:textId="77777777" w:rsidR="009815D4" w:rsidRDefault="00000000">
            <w:pPr>
              <w:suppressAutoHyphens w:val="0"/>
              <w:spacing w:after="0"/>
              <w:jc w:val="center"/>
            </w:pPr>
            <w:r>
              <w:rPr>
                <w:rFonts w:ascii="Trebuchet MS" w:eastAsia="Times New Roman" w:hAnsi="Trebuchet MS" w:cs="Calibri"/>
                <w:color w:val="000000"/>
                <w:kern w:val="0"/>
                <w:sz w:val="20"/>
                <w:szCs w:val="20"/>
                <w:lang w:eastAsia="lt-LT"/>
              </w:rPr>
              <w:t>atlikta</w:t>
            </w:r>
          </w:p>
        </w:tc>
      </w:tr>
      <w:tr w:rsidR="009815D4" w14:paraId="03B04270" w14:textId="77777777">
        <w:tblPrEx>
          <w:tblCellMar>
            <w:top w:w="0" w:type="dxa"/>
            <w:bottom w:w="0" w:type="dxa"/>
          </w:tblCellMar>
        </w:tblPrEx>
        <w:trPr>
          <w:trHeight w:val="288"/>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2730610F" w14:textId="77777777" w:rsidR="009815D4" w:rsidRDefault="00000000">
            <w:pPr>
              <w:pStyle w:val="ListParagraph"/>
              <w:numPr>
                <w:ilvl w:val="0"/>
                <w:numId w:val="1"/>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proofErr w:type="spellStart"/>
            <w:r>
              <w:rPr>
                <w:rFonts w:ascii="Trebuchet MS" w:eastAsia="Times New Roman" w:hAnsi="Trebuchet MS" w:cs="Calibri"/>
                <w:color w:val="000000"/>
                <w:kern w:val="0"/>
                <w:sz w:val="20"/>
                <w:szCs w:val="20"/>
                <w:lang w:eastAsia="lt-LT"/>
              </w:rPr>
              <w:t>Jašiūnų</w:t>
            </w:r>
            <w:proofErr w:type="spellEnd"/>
            <w:r>
              <w:rPr>
                <w:rFonts w:ascii="Trebuchet MS" w:eastAsia="Times New Roman" w:hAnsi="Trebuchet MS" w:cs="Calibri"/>
                <w:color w:val="000000"/>
                <w:kern w:val="0"/>
                <w:sz w:val="20"/>
                <w:szCs w:val="20"/>
                <w:lang w:eastAsia="lt-LT"/>
              </w:rPr>
              <w:t xml:space="preserve"> TP išjungimas iš 110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pusės. Atjungiama 110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OL </w:t>
            </w:r>
            <w:proofErr w:type="spellStart"/>
            <w:r>
              <w:rPr>
                <w:rFonts w:ascii="Trebuchet MS" w:eastAsia="Times New Roman" w:hAnsi="Trebuchet MS" w:cs="Calibri"/>
                <w:color w:val="000000"/>
                <w:kern w:val="0"/>
                <w:sz w:val="20"/>
                <w:szCs w:val="20"/>
                <w:lang w:eastAsia="lt-LT"/>
              </w:rPr>
              <w:t>Jašiūnai</w:t>
            </w:r>
            <w:proofErr w:type="spellEnd"/>
            <w:r>
              <w:rPr>
                <w:rFonts w:ascii="Trebuchet MS" w:eastAsia="Times New Roman" w:hAnsi="Trebuchet MS" w:cs="Calibri"/>
                <w:color w:val="000000"/>
                <w:kern w:val="0"/>
                <w:sz w:val="20"/>
                <w:szCs w:val="20"/>
                <w:lang w:eastAsia="lt-LT"/>
              </w:rPr>
              <w:t xml:space="preserve"> – Šalčininkai. Sumontuojama laikina jungtis 110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galinėje atramoje Nr.1/166 dėl 110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OL Vilnius – </w:t>
            </w:r>
            <w:proofErr w:type="spellStart"/>
            <w:r>
              <w:rPr>
                <w:rFonts w:ascii="Trebuchet MS" w:eastAsia="Times New Roman" w:hAnsi="Trebuchet MS" w:cs="Calibri"/>
                <w:color w:val="000000"/>
                <w:kern w:val="0"/>
                <w:sz w:val="20"/>
                <w:szCs w:val="20"/>
                <w:lang w:eastAsia="lt-LT"/>
              </w:rPr>
              <w:t>Jašiūnai</w:t>
            </w:r>
            <w:proofErr w:type="spellEnd"/>
            <w:r>
              <w:rPr>
                <w:rFonts w:ascii="Trebuchet MS" w:eastAsia="Times New Roman" w:hAnsi="Trebuchet MS" w:cs="Calibri"/>
                <w:color w:val="000000"/>
                <w:kern w:val="0"/>
                <w:sz w:val="20"/>
                <w:szCs w:val="20"/>
                <w:lang w:eastAsia="lt-LT"/>
              </w:rPr>
              <w:t xml:space="preserve"> – Šalčininkai tranzito. Detalūs sprendiniai yra pateikiami elektros linijų dalyje (2,3, 4 p. darbų trukmė 1 d. d.);</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0608339A"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atlikta</w:t>
            </w:r>
          </w:p>
        </w:tc>
      </w:tr>
      <w:tr w:rsidR="009815D4" w14:paraId="49350344" w14:textId="77777777">
        <w:tblPrEx>
          <w:tblCellMar>
            <w:top w:w="0" w:type="dxa"/>
            <w:bottom w:w="0" w:type="dxa"/>
          </w:tblCellMar>
        </w:tblPrEx>
        <w:trPr>
          <w:trHeight w:val="288"/>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1BF16B9A" w14:textId="77777777" w:rsidR="009815D4" w:rsidRDefault="00000000">
            <w:pPr>
              <w:pStyle w:val="ListParagraph"/>
              <w:numPr>
                <w:ilvl w:val="0"/>
                <w:numId w:val="1"/>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 xml:space="preserve">RAA nuostatų keitimas Vilniaus TP ir Šalčininkų TP ryšium dėl 110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OL Vilnius – </w:t>
            </w:r>
            <w:proofErr w:type="spellStart"/>
            <w:r>
              <w:rPr>
                <w:rFonts w:ascii="Trebuchet MS" w:eastAsia="Times New Roman" w:hAnsi="Trebuchet MS" w:cs="Calibri"/>
                <w:color w:val="000000"/>
                <w:kern w:val="0"/>
                <w:sz w:val="20"/>
                <w:szCs w:val="20"/>
                <w:lang w:eastAsia="lt-LT"/>
              </w:rPr>
              <w:t>Jašiūnai</w:t>
            </w:r>
            <w:proofErr w:type="spellEnd"/>
            <w:r>
              <w:rPr>
                <w:rFonts w:ascii="Trebuchet MS" w:eastAsia="Times New Roman" w:hAnsi="Trebuchet MS" w:cs="Calibri"/>
                <w:color w:val="000000"/>
                <w:kern w:val="0"/>
                <w:sz w:val="20"/>
                <w:szCs w:val="20"/>
                <w:lang w:eastAsia="lt-LT"/>
              </w:rPr>
              <w:t xml:space="preserve"> – Šalčininkai tranzito (darbų trukmė 1 d. d.);</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17B9AD2B"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atlikta</w:t>
            </w:r>
          </w:p>
        </w:tc>
      </w:tr>
      <w:tr w:rsidR="009815D4" w14:paraId="28E65815" w14:textId="77777777">
        <w:tblPrEx>
          <w:tblCellMar>
            <w:top w:w="0" w:type="dxa"/>
            <w:bottom w:w="0" w:type="dxa"/>
          </w:tblCellMar>
        </w:tblPrEx>
        <w:trPr>
          <w:trHeight w:val="476"/>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11CB2DD5" w14:textId="77777777" w:rsidR="009815D4" w:rsidRDefault="00000000">
            <w:pPr>
              <w:pStyle w:val="ListParagraph"/>
              <w:numPr>
                <w:ilvl w:val="0"/>
                <w:numId w:val="1"/>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 xml:space="preserve">Įjungiamos 110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OL tarpusavyje sujungtos Vilnius – </w:t>
            </w:r>
            <w:proofErr w:type="spellStart"/>
            <w:r>
              <w:rPr>
                <w:rFonts w:ascii="Trebuchet MS" w:eastAsia="Times New Roman" w:hAnsi="Trebuchet MS" w:cs="Calibri"/>
                <w:color w:val="000000"/>
                <w:kern w:val="0"/>
                <w:sz w:val="20"/>
                <w:szCs w:val="20"/>
                <w:lang w:eastAsia="lt-LT"/>
              </w:rPr>
              <w:t>Jašiūnai</w:t>
            </w:r>
            <w:proofErr w:type="spellEnd"/>
            <w:r>
              <w:rPr>
                <w:rFonts w:ascii="Trebuchet MS" w:eastAsia="Times New Roman" w:hAnsi="Trebuchet MS" w:cs="Calibri"/>
                <w:color w:val="000000"/>
                <w:kern w:val="0"/>
                <w:sz w:val="20"/>
                <w:szCs w:val="20"/>
                <w:lang w:eastAsia="lt-LT"/>
              </w:rPr>
              <w:t xml:space="preserve"> ir </w:t>
            </w:r>
            <w:proofErr w:type="spellStart"/>
            <w:r>
              <w:rPr>
                <w:rFonts w:ascii="Trebuchet MS" w:eastAsia="Times New Roman" w:hAnsi="Trebuchet MS" w:cs="Calibri"/>
                <w:color w:val="000000"/>
                <w:kern w:val="0"/>
                <w:sz w:val="20"/>
                <w:szCs w:val="20"/>
                <w:lang w:eastAsia="lt-LT"/>
              </w:rPr>
              <w:t>Jašiūnai</w:t>
            </w:r>
            <w:proofErr w:type="spellEnd"/>
            <w:r>
              <w:rPr>
                <w:rFonts w:ascii="Trebuchet MS" w:eastAsia="Times New Roman" w:hAnsi="Trebuchet MS" w:cs="Calibri"/>
                <w:color w:val="000000"/>
                <w:kern w:val="0"/>
                <w:sz w:val="20"/>
                <w:szCs w:val="20"/>
                <w:lang w:eastAsia="lt-LT"/>
              </w:rPr>
              <w:t xml:space="preserve"> – Šalčininkai, </w:t>
            </w:r>
            <w:proofErr w:type="spellStart"/>
            <w:r>
              <w:rPr>
                <w:rFonts w:ascii="Trebuchet MS" w:eastAsia="Times New Roman" w:hAnsi="Trebuchet MS" w:cs="Calibri"/>
                <w:color w:val="000000"/>
                <w:kern w:val="0"/>
                <w:sz w:val="20"/>
                <w:szCs w:val="20"/>
                <w:lang w:eastAsia="lt-LT"/>
              </w:rPr>
              <w:t>Jašiūnų</w:t>
            </w:r>
            <w:proofErr w:type="spellEnd"/>
            <w:r>
              <w:rPr>
                <w:rFonts w:ascii="Trebuchet MS" w:eastAsia="Times New Roman" w:hAnsi="Trebuchet MS" w:cs="Calibri"/>
                <w:color w:val="000000"/>
                <w:kern w:val="0"/>
                <w:sz w:val="20"/>
                <w:szCs w:val="20"/>
                <w:lang w:eastAsia="lt-LT"/>
              </w:rPr>
              <w:t xml:space="preserve"> TP įjungiama Š2-110 ir galios </w:t>
            </w:r>
            <w:proofErr w:type="spellStart"/>
            <w:r>
              <w:rPr>
                <w:rFonts w:ascii="Trebuchet MS" w:eastAsia="Times New Roman" w:hAnsi="Trebuchet MS" w:cs="Calibri"/>
                <w:color w:val="000000"/>
                <w:kern w:val="0"/>
                <w:sz w:val="20"/>
                <w:szCs w:val="20"/>
                <w:lang w:eastAsia="lt-LT"/>
              </w:rPr>
              <w:t>tr-rius</w:t>
            </w:r>
            <w:proofErr w:type="spellEnd"/>
            <w:r>
              <w:rPr>
                <w:rFonts w:ascii="Trebuchet MS" w:eastAsia="Times New Roman" w:hAnsi="Trebuchet MS" w:cs="Calibri"/>
                <w:color w:val="000000"/>
                <w:kern w:val="0"/>
                <w:sz w:val="20"/>
                <w:szCs w:val="20"/>
                <w:lang w:eastAsia="lt-LT"/>
              </w:rPr>
              <w:t xml:space="preserve"> T-2;</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3AAA0DF6" w14:textId="77777777" w:rsidR="009815D4" w:rsidRDefault="00000000">
            <w:pPr>
              <w:suppressAutoHyphens w:val="0"/>
              <w:spacing w:after="0"/>
              <w:jc w:val="center"/>
            </w:pPr>
            <w:r>
              <w:rPr>
                <w:rFonts w:ascii="Trebuchet MS" w:eastAsia="Times New Roman" w:hAnsi="Trebuchet MS" w:cs="Calibri"/>
                <w:color w:val="000000"/>
                <w:kern w:val="0"/>
                <w:sz w:val="20"/>
                <w:szCs w:val="20"/>
                <w:lang w:eastAsia="lt-LT"/>
              </w:rPr>
              <w:t>atlikta</w:t>
            </w:r>
          </w:p>
        </w:tc>
      </w:tr>
      <w:tr w:rsidR="009815D4" w14:paraId="7C08F357" w14:textId="77777777">
        <w:tblPrEx>
          <w:tblCellMar>
            <w:top w:w="0" w:type="dxa"/>
            <w:bottom w:w="0" w:type="dxa"/>
          </w:tblCellMar>
        </w:tblPrEx>
        <w:trPr>
          <w:trHeight w:val="576"/>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27CDDC92" w14:textId="77777777" w:rsidR="009815D4" w:rsidRDefault="00000000">
            <w:pPr>
              <w:pStyle w:val="ListParagraph"/>
              <w:numPr>
                <w:ilvl w:val="0"/>
                <w:numId w:val="1"/>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 xml:space="preserve">Atliekami 35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ir galios </w:t>
            </w:r>
            <w:proofErr w:type="spellStart"/>
            <w:r>
              <w:rPr>
                <w:rFonts w:ascii="Trebuchet MS" w:eastAsia="Times New Roman" w:hAnsi="Trebuchet MS" w:cs="Calibri"/>
                <w:color w:val="000000"/>
                <w:kern w:val="0"/>
                <w:sz w:val="20"/>
                <w:szCs w:val="20"/>
                <w:lang w:eastAsia="lt-LT"/>
              </w:rPr>
              <w:t>tr-riaus</w:t>
            </w:r>
            <w:proofErr w:type="spellEnd"/>
            <w:r>
              <w:rPr>
                <w:rFonts w:ascii="Trebuchet MS" w:eastAsia="Times New Roman" w:hAnsi="Trebuchet MS" w:cs="Calibri"/>
                <w:color w:val="000000"/>
                <w:kern w:val="0"/>
                <w:sz w:val="20"/>
                <w:szCs w:val="20"/>
                <w:lang w:eastAsia="lt-LT"/>
              </w:rPr>
              <w:t xml:space="preserve"> T-1 RAA grandinių perderinimo ir nuostatų keitimo darbai tam kad užtikrinti galimybę saugiai įjungti atjungtą galios </w:t>
            </w:r>
            <w:proofErr w:type="spellStart"/>
            <w:r>
              <w:rPr>
                <w:rFonts w:ascii="Trebuchet MS" w:eastAsia="Times New Roman" w:hAnsi="Trebuchet MS" w:cs="Calibri"/>
                <w:color w:val="000000"/>
                <w:kern w:val="0"/>
                <w:sz w:val="20"/>
                <w:szCs w:val="20"/>
                <w:lang w:eastAsia="lt-LT"/>
              </w:rPr>
              <w:t>tr-rių</w:t>
            </w:r>
            <w:proofErr w:type="spellEnd"/>
            <w:r>
              <w:rPr>
                <w:rFonts w:ascii="Trebuchet MS" w:eastAsia="Times New Roman" w:hAnsi="Trebuchet MS" w:cs="Calibri"/>
                <w:color w:val="000000"/>
                <w:kern w:val="0"/>
                <w:sz w:val="20"/>
                <w:szCs w:val="20"/>
                <w:lang w:eastAsia="lt-LT"/>
              </w:rPr>
              <w:t xml:space="preserve"> T-1 per atbulinę transformaciją iš 35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tinklo. Darbus atlieka ESO rangovas;</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1F9396B2"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atlikta</w:t>
            </w:r>
          </w:p>
        </w:tc>
      </w:tr>
      <w:tr w:rsidR="009815D4" w14:paraId="1CF13BA2" w14:textId="77777777">
        <w:tblPrEx>
          <w:tblCellMar>
            <w:top w:w="0" w:type="dxa"/>
            <w:bottom w:w="0" w:type="dxa"/>
          </w:tblCellMar>
        </w:tblPrEx>
        <w:trPr>
          <w:trHeight w:val="576"/>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7E6C5826" w14:textId="77777777" w:rsidR="009815D4" w:rsidRDefault="00000000">
            <w:pPr>
              <w:pStyle w:val="ListParagraph"/>
              <w:numPr>
                <w:ilvl w:val="0"/>
                <w:numId w:val="1"/>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 xml:space="preserve">ESO rangovas, 35kV AS, sumontuoja naujus antžeminius kabelių kanalus ir pakloja 35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įtampos grandinių, šildymo, kontrolinius (valdymo, signalizacijos ir kt.) kabelius, kurie yra prakloti per 110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skirstyklą į 35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skirstyklos įrenginius. Išmontuojami 110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OL Vilnius – </w:t>
            </w:r>
            <w:proofErr w:type="spellStart"/>
            <w:r>
              <w:rPr>
                <w:rFonts w:ascii="Trebuchet MS" w:eastAsia="Times New Roman" w:hAnsi="Trebuchet MS" w:cs="Calibri"/>
                <w:color w:val="000000"/>
                <w:kern w:val="0"/>
                <w:sz w:val="20"/>
                <w:szCs w:val="20"/>
                <w:lang w:eastAsia="lt-LT"/>
              </w:rPr>
              <w:t>Jašiūnai</w:t>
            </w:r>
            <w:proofErr w:type="spellEnd"/>
            <w:r>
              <w:rPr>
                <w:rFonts w:ascii="Trebuchet MS" w:eastAsia="Times New Roman" w:hAnsi="Trebuchet MS" w:cs="Calibri"/>
                <w:color w:val="000000"/>
                <w:kern w:val="0"/>
                <w:sz w:val="20"/>
                <w:szCs w:val="20"/>
                <w:lang w:eastAsia="lt-LT"/>
              </w:rPr>
              <w:t xml:space="preserve"> ir T-101 prijunginių esami įrenginiai, lauko spintos, kabeliai bei kabelių kanalai;  </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1D7E9A46"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atlikta</w:t>
            </w:r>
          </w:p>
        </w:tc>
      </w:tr>
      <w:tr w:rsidR="009815D4" w14:paraId="2FBF8D1F" w14:textId="77777777">
        <w:tblPrEx>
          <w:tblCellMar>
            <w:top w:w="0" w:type="dxa"/>
            <w:bottom w:w="0" w:type="dxa"/>
          </w:tblCellMar>
        </w:tblPrEx>
        <w:trPr>
          <w:trHeight w:val="576"/>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6D898546" w14:textId="77777777" w:rsidR="009815D4" w:rsidRDefault="00000000">
            <w:pPr>
              <w:pStyle w:val="ListParagraph"/>
              <w:numPr>
                <w:ilvl w:val="0"/>
                <w:numId w:val="1"/>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Prieš liejant modulinio valdymo pulto (toliau PVP) pagrindo plokštę turi būti sumontuotas ryšių kabelių kanalų sistemos (toliau RKKS) įvadas per PVP pamatą ir įvadinis šulinys;</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4FCABCF3"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atlikta</w:t>
            </w:r>
          </w:p>
        </w:tc>
      </w:tr>
      <w:tr w:rsidR="009815D4" w14:paraId="1A4FF414" w14:textId="77777777">
        <w:tblPrEx>
          <w:tblCellMar>
            <w:top w:w="0" w:type="dxa"/>
            <w:bottom w:w="0" w:type="dxa"/>
          </w:tblCellMar>
        </w:tblPrEx>
        <w:trPr>
          <w:trHeight w:val="288"/>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6295A5BE" w14:textId="77777777" w:rsidR="009815D4" w:rsidRDefault="00000000">
            <w:pPr>
              <w:pStyle w:val="ListParagraph"/>
              <w:numPr>
                <w:ilvl w:val="0"/>
                <w:numId w:val="1"/>
              </w:numPr>
              <w:tabs>
                <w:tab w:val="left" w:pos="450"/>
              </w:tabs>
              <w:suppressAutoHyphens w:val="0"/>
              <w:spacing w:after="0"/>
              <w:ind w:left="30" w:firstLine="0"/>
            </w:pPr>
            <w:r>
              <w:rPr>
                <w:rFonts w:ascii="Trebuchet MS" w:eastAsia="Times New Roman" w:hAnsi="Trebuchet MS" w:cs="Calibri"/>
                <w:color w:val="000000"/>
                <w:kern w:val="0"/>
                <w:sz w:val="20"/>
                <w:szCs w:val="20"/>
                <w:lang w:eastAsia="lt-LT"/>
              </w:rPr>
              <w:lastRenderedPageBreak/>
              <w:t xml:space="preserve"> Projekte numatytoje vietoje pastatomas 110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skirstyklos modulinis valdymo pultas;</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22044ECE"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atlikta</w:t>
            </w:r>
          </w:p>
        </w:tc>
      </w:tr>
      <w:tr w:rsidR="009815D4" w14:paraId="06F87500" w14:textId="77777777">
        <w:tblPrEx>
          <w:tblCellMar>
            <w:top w:w="0" w:type="dxa"/>
            <w:bottom w:w="0" w:type="dxa"/>
          </w:tblCellMar>
        </w:tblPrEx>
        <w:trPr>
          <w:trHeight w:val="288"/>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0853626F" w14:textId="77777777" w:rsidR="009815D4" w:rsidRDefault="00000000">
            <w:pPr>
              <w:pStyle w:val="ListParagraph"/>
              <w:numPr>
                <w:ilvl w:val="0"/>
                <w:numId w:val="1"/>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 xml:space="preserve"> Naujame PVP sumontuojama relinės apsaugos, ryšių, </w:t>
            </w:r>
            <w:proofErr w:type="spellStart"/>
            <w:r>
              <w:rPr>
                <w:rFonts w:ascii="Trebuchet MS" w:eastAsia="Times New Roman" w:hAnsi="Trebuchet MS" w:cs="Calibri"/>
                <w:color w:val="000000"/>
                <w:kern w:val="0"/>
                <w:sz w:val="20"/>
                <w:szCs w:val="20"/>
                <w:lang w:eastAsia="lt-LT"/>
              </w:rPr>
              <w:t>teleinformacijos</w:t>
            </w:r>
            <w:proofErr w:type="spellEnd"/>
            <w:r>
              <w:rPr>
                <w:rFonts w:ascii="Trebuchet MS" w:eastAsia="Times New Roman" w:hAnsi="Trebuchet MS" w:cs="Calibri"/>
                <w:color w:val="000000"/>
                <w:kern w:val="0"/>
                <w:sz w:val="20"/>
                <w:szCs w:val="20"/>
                <w:lang w:eastAsia="lt-LT"/>
              </w:rPr>
              <w:t xml:space="preserve"> surinkimo ir perdavimo įrangos, kontrolinės (techninės) apskaitos spinta su I etapo (TS-100 prijunginio) EEA įranga bei KDV ir MDV, apsauginės ir gaisrinės signalizacijos ir kt. projekte numatyta įranga;</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01F3F486"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atlikta</w:t>
            </w:r>
          </w:p>
        </w:tc>
      </w:tr>
      <w:tr w:rsidR="009815D4" w14:paraId="1B1DACA0" w14:textId="77777777">
        <w:tblPrEx>
          <w:tblCellMar>
            <w:top w:w="0" w:type="dxa"/>
            <w:bottom w:w="0" w:type="dxa"/>
          </w:tblCellMar>
        </w:tblPrEx>
        <w:trPr>
          <w:trHeight w:val="576"/>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04AD3CF3" w14:textId="77777777" w:rsidR="009815D4" w:rsidRDefault="00000000">
            <w:pPr>
              <w:pStyle w:val="ListParagraph"/>
              <w:numPr>
                <w:ilvl w:val="0"/>
                <w:numId w:val="1"/>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 xml:space="preserve"> Įrengiami nauji pamatai ir metalo konstrukcijos naujai projektuojamų 110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prijunginių 110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OL Vilnius – </w:t>
            </w:r>
            <w:proofErr w:type="spellStart"/>
            <w:r>
              <w:rPr>
                <w:rFonts w:ascii="Trebuchet MS" w:eastAsia="Times New Roman" w:hAnsi="Trebuchet MS" w:cs="Calibri"/>
                <w:color w:val="000000"/>
                <w:kern w:val="0"/>
                <w:sz w:val="20"/>
                <w:szCs w:val="20"/>
                <w:lang w:eastAsia="lt-LT"/>
              </w:rPr>
              <w:t>Jašiūnai</w:t>
            </w:r>
            <w:proofErr w:type="spellEnd"/>
            <w:r>
              <w:rPr>
                <w:rFonts w:ascii="Trebuchet MS" w:eastAsia="Times New Roman" w:hAnsi="Trebuchet MS" w:cs="Calibri"/>
                <w:color w:val="000000"/>
                <w:kern w:val="0"/>
                <w:sz w:val="20"/>
                <w:szCs w:val="20"/>
                <w:lang w:eastAsia="lt-LT"/>
              </w:rPr>
              <w:t xml:space="preserve">, T-101, TS-100 ir TS-100-1. Paklojamas naujas įžeminimo kontūras. Ant įrengtų konstrukcijų sumontuojami nauji 110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įrenginiai. Atliekami naujų įrenginių </w:t>
            </w:r>
            <w:proofErr w:type="spellStart"/>
            <w:r>
              <w:rPr>
                <w:rFonts w:ascii="Trebuchet MS" w:eastAsia="Times New Roman" w:hAnsi="Trebuchet MS" w:cs="Calibri"/>
                <w:color w:val="000000"/>
                <w:kern w:val="0"/>
                <w:sz w:val="20"/>
                <w:szCs w:val="20"/>
                <w:lang w:eastAsia="lt-LT"/>
              </w:rPr>
              <w:t>apšynavimo</w:t>
            </w:r>
            <w:proofErr w:type="spellEnd"/>
            <w:r>
              <w:rPr>
                <w:rFonts w:ascii="Trebuchet MS" w:eastAsia="Times New Roman" w:hAnsi="Trebuchet MS" w:cs="Calibri"/>
                <w:color w:val="000000"/>
                <w:kern w:val="0"/>
                <w:sz w:val="20"/>
                <w:szCs w:val="20"/>
                <w:lang w:eastAsia="lt-LT"/>
              </w:rPr>
              <w:t xml:space="preserve"> darbai;</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0507E660"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atlikta</w:t>
            </w:r>
          </w:p>
        </w:tc>
      </w:tr>
      <w:tr w:rsidR="009815D4" w14:paraId="105D31C3" w14:textId="77777777">
        <w:tblPrEx>
          <w:tblCellMar>
            <w:top w:w="0" w:type="dxa"/>
            <w:bottom w:w="0" w:type="dxa"/>
          </w:tblCellMar>
        </w:tblPrEx>
        <w:trPr>
          <w:trHeight w:val="509"/>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5C742817" w14:textId="77777777" w:rsidR="009815D4" w:rsidRDefault="00000000">
            <w:pPr>
              <w:pStyle w:val="ListParagraph"/>
              <w:numPr>
                <w:ilvl w:val="0"/>
                <w:numId w:val="1"/>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 xml:space="preserve"> Rekonstruojamoje 110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skirstyklos dalyje įrengiami nauji kabelių kanalai, tarp LITGRID AB PVP ir 110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skirstyklos bei iki ESO dalyje esamo kanalo;</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6F32F13A"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atlikta</w:t>
            </w:r>
          </w:p>
        </w:tc>
      </w:tr>
      <w:tr w:rsidR="009815D4" w14:paraId="758FD11A" w14:textId="77777777">
        <w:tblPrEx>
          <w:tblCellMar>
            <w:top w:w="0" w:type="dxa"/>
            <w:bottom w:w="0" w:type="dxa"/>
          </w:tblCellMar>
        </w:tblPrEx>
        <w:trPr>
          <w:trHeight w:val="417"/>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624ACAB2" w14:textId="77777777" w:rsidR="009815D4" w:rsidRDefault="00000000">
            <w:pPr>
              <w:pStyle w:val="ListParagraph"/>
              <w:numPr>
                <w:ilvl w:val="0"/>
                <w:numId w:val="1"/>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 xml:space="preserve"> Atliekami ryšių kanalizacijos įrengimo, ŠK klojimo darbai nuo naujai sumontuoto ryšio bokšto iki PVP;</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6A4F0C17"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atlikta</w:t>
            </w:r>
          </w:p>
        </w:tc>
      </w:tr>
      <w:tr w:rsidR="009815D4" w14:paraId="5F5BA349" w14:textId="77777777">
        <w:tblPrEx>
          <w:tblCellMar>
            <w:top w:w="0" w:type="dxa"/>
            <w:bottom w:w="0" w:type="dxa"/>
          </w:tblCellMar>
        </w:tblPrEx>
        <w:trPr>
          <w:trHeight w:val="288"/>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2955D13A" w14:textId="77777777" w:rsidR="009815D4" w:rsidRDefault="00000000">
            <w:pPr>
              <w:pStyle w:val="ListParagraph"/>
              <w:numPr>
                <w:ilvl w:val="0"/>
                <w:numId w:val="1"/>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 xml:space="preserve"> Įrengiamos komercinės apskaitos (KAS), antrinių grandinių lauko gnybtų spintos. Sumontuojamos T-101 prijunginio komercinės elektros apskaitos įranga ir įrenginiai. Sumontuojami teritorijos apšvietimo įrenginiai, kilnojamų įrenginių galios skydelis;</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5C485E6F"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atlikta</w:t>
            </w:r>
          </w:p>
        </w:tc>
      </w:tr>
      <w:tr w:rsidR="009815D4" w14:paraId="1BBEE977" w14:textId="77777777">
        <w:tblPrEx>
          <w:tblCellMar>
            <w:top w:w="0" w:type="dxa"/>
            <w:bottom w:w="0" w:type="dxa"/>
          </w:tblCellMar>
        </w:tblPrEx>
        <w:trPr>
          <w:trHeight w:val="277"/>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599414FD" w14:textId="77777777" w:rsidR="009815D4" w:rsidRDefault="00000000">
            <w:pPr>
              <w:pStyle w:val="ListParagraph"/>
              <w:numPr>
                <w:ilvl w:val="0"/>
                <w:numId w:val="1"/>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 xml:space="preserve"> Paklojami galios ir kontroliniai kabeliai;</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20F61636"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atlikta</w:t>
            </w:r>
          </w:p>
        </w:tc>
      </w:tr>
      <w:tr w:rsidR="009815D4" w14:paraId="5D9140AA" w14:textId="77777777">
        <w:tblPrEx>
          <w:tblCellMar>
            <w:top w:w="0" w:type="dxa"/>
            <w:bottom w:w="0" w:type="dxa"/>
          </w:tblCellMar>
        </w:tblPrEx>
        <w:trPr>
          <w:trHeight w:val="288"/>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060F3787" w14:textId="77777777" w:rsidR="009815D4" w:rsidRDefault="00000000">
            <w:pPr>
              <w:pStyle w:val="ListParagraph"/>
              <w:numPr>
                <w:ilvl w:val="0"/>
                <w:numId w:val="1"/>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 xml:space="preserve"> Naujai įrengtas LITGRID AB kintamosios srovės savųjų reikmių skydas užmaitinamas nuo PT SRKAS spintos;</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10D1D97D"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atlikta</w:t>
            </w:r>
          </w:p>
        </w:tc>
      </w:tr>
      <w:tr w:rsidR="009815D4" w14:paraId="31546E51" w14:textId="77777777">
        <w:tblPrEx>
          <w:tblCellMar>
            <w:top w:w="0" w:type="dxa"/>
            <w:bottom w:w="0" w:type="dxa"/>
          </w:tblCellMar>
        </w:tblPrEx>
        <w:trPr>
          <w:trHeight w:val="251"/>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286A92B3" w14:textId="77777777" w:rsidR="009815D4" w:rsidRDefault="00000000">
            <w:pPr>
              <w:pStyle w:val="ListParagraph"/>
              <w:numPr>
                <w:ilvl w:val="0"/>
                <w:numId w:val="1"/>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 xml:space="preserve"> Atliekami naujai sumontuotos įrangos konfigūravimo, derinimo ir paleidimo bei testavimo darbai;</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1B8AA7CF"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atlikta</w:t>
            </w:r>
          </w:p>
        </w:tc>
      </w:tr>
      <w:tr w:rsidR="009815D4" w14:paraId="529DD2C5" w14:textId="77777777">
        <w:tblPrEx>
          <w:tblCellMar>
            <w:top w:w="0" w:type="dxa"/>
            <w:bottom w:w="0" w:type="dxa"/>
          </w:tblCellMar>
        </w:tblPrEx>
        <w:trPr>
          <w:trHeight w:val="653"/>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0F18E329" w14:textId="77777777" w:rsidR="009815D4" w:rsidRDefault="00000000">
            <w:pPr>
              <w:pStyle w:val="ListParagraph"/>
              <w:numPr>
                <w:ilvl w:val="0"/>
                <w:numId w:val="1"/>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 xml:space="preserve"> Atliekami visos reikalingos operatyvinės dokumentacijos pridavimo ir derinimo su Užsakovu, operatyvinio personalo mokymo ir Techninio įvertinimo komisijos rengimo darbai;</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48CF452E"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atlikta</w:t>
            </w:r>
          </w:p>
        </w:tc>
      </w:tr>
      <w:tr w:rsidR="009815D4" w14:paraId="7870EA12" w14:textId="77777777">
        <w:tblPrEx>
          <w:tblCellMar>
            <w:top w:w="0" w:type="dxa"/>
            <w:bottom w:w="0" w:type="dxa"/>
          </w:tblCellMar>
        </w:tblPrEx>
        <w:trPr>
          <w:trHeight w:val="288"/>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0BABC056" w14:textId="77777777" w:rsidR="009815D4" w:rsidRDefault="00000000">
            <w:pPr>
              <w:pStyle w:val="ListParagraph"/>
              <w:numPr>
                <w:ilvl w:val="0"/>
                <w:numId w:val="1"/>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 xml:space="preserve"> Atliekami 35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ir galios </w:t>
            </w:r>
            <w:proofErr w:type="spellStart"/>
            <w:r>
              <w:rPr>
                <w:rFonts w:ascii="Trebuchet MS" w:eastAsia="Times New Roman" w:hAnsi="Trebuchet MS" w:cs="Calibri"/>
                <w:color w:val="000000"/>
                <w:kern w:val="0"/>
                <w:sz w:val="20"/>
                <w:szCs w:val="20"/>
                <w:lang w:eastAsia="lt-LT"/>
              </w:rPr>
              <w:t>tr-riaus</w:t>
            </w:r>
            <w:proofErr w:type="spellEnd"/>
            <w:r>
              <w:rPr>
                <w:rFonts w:ascii="Trebuchet MS" w:eastAsia="Times New Roman" w:hAnsi="Trebuchet MS" w:cs="Calibri"/>
                <w:color w:val="000000"/>
                <w:kern w:val="0"/>
                <w:sz w:val="20"/>
                <w:szCs w:val="20"/>
                <w:lang w:eastAsia="lt-LT"/>
              </w:rPr>
              <w:t xml:space="preserve"> T-1 RAA grandinių perderinimo ir nuostatų keitimo darbai tam kad būtu galima įjungti galios </w:t>
            </w:r>
            <w:proofErr w:type="spellStart"/>
            <w:r>
              <w:rPr>
                <w:rFonts w:ascii="Trebuchet MS" w:eastAsia="Times New Roman" w:hAnsi="Trebuchet MS" w:cs="Calibri"/>
                <w:color w:val="000000"/>
                <w:kern w:val="0"/>
                <w:sz w:val="20"/>
                <w:szCs w:val="20"/>
                <w:lang w:eastAsia="lt-LT"/>
              </w:rPr>
              <w:t>tr-rių</w:t>
            </w:r>
            <w:proofErr w:type="spellEnd"/>
            <w:r>
              <w:rPr>
                <w:rFonts w:ascii="Trebuchet MS" w:eastAsia="Times New Roman" w:hAnsi="Trebuchet MS" w:cs="Calibri"/>
                <w:color w:val="000000"/>
                <w:kern w:val="0"/>
                <w:sz w:val="20"/>
                <w:szCs w:val="20"/>
                <w:lang w:eastAsia="lt-LT"/>
              </w:rPr>
              <w:t xml:space="preserve"> T-1 iš 110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tinklo. Darbus atlieka ESO rangovas;</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56FE64E1"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atlikta</w:t>
            </w:r>
          </w:p>
        </w:tc>
      </w:tr>
      <w:tr w:rsidR="009815D4" w14:paraId="52A1E366" w14:textId="77777777">
        <w:tblPrEx>
          <w:tblCellMar>
            <w:top w:w="0" w:type="dxa"/>
            <w:bottom w:w="0" w:type="dxa"/>
          </w:tblCellMar>
        </w:tblPrEx>
        <w:trPr>
          <w:trHeight w:val="288"/>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1ED0A8AE" w14:textId="77777777" w:rsidR="009815D4" w:rsidRDefault="00000000">
            <w:pPr>
              <w:pStyle w:val="ListParagraph"/>
              <w:numPr>
                <w:ilvl w:val="0"/>
                <w:numId w:val="1"/>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 xml:space="preserve"> Atjungiamos tarpusavyje sujungtos 110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OL Vilnius – </w:t>
            </w:r>
            <w:proofErr w:type="spellStart"/>
            <w:r>
              <w:rPr>
                <w:rFonts w:ascii="Trebuchet MS" w:eastAsia="Times New Roman" w:hAnsi="Trebuchet MS" w:cs="Calibri"/>
                <w:color w:val="000000"/>
                <w:kern w:val="0"/>
                <w:sz w:val="20"/>
                <w:szCs w:val="20"/>
                <w:lang w:eastAsia="lt-LT"/>
              </w:rPr>
              <w:t>Jašiūnai</w:t>
            </w:r>
            <w:proofErr w:type="spellEnd"/>
            <w:r>
              <w:rPr>
                <w:rFonts w:ascii="Trebuchet MS" w:eastAsia="Times New Roman" w:hAnsi="Trebuchet MS" w:cs="Calibri"/>
                <w:color w:val="000000"/>
                <w:kern w:val="0"/>
                <w:sz w:val="20"/>
                <w:szCs w:val="20"/>
                <w:lang w:eastAsia="lt-LT"/>
              </w:rPr>
              <w:t xml:space="preserve"> ir </w:t>
            </w:r>
            <w:proofErr w:type="spellStart"/>
            <w:r>
              <w:rPr>
                <w:rFonts w:ascii="Trebuchet MS" w:eastAsia="Times New Roman" w:hAnsi="Trebuchet MS" w:cs="Calibri"/>
                <w:color w:val="000000"/>
                <w:kern w:val="0"/>
                <w:sz w:val="20"/>
                <w:szCs w:val="20"/>
                <w:lang w:eastAsia="lt-LT"/>
              </w:rPr>
              <w:t>Jašiūnai</w:t>
            </w:r>
            <w:proofErr w:type="spellEnd"/>
            <w:r>
              <w:rPr>
                <w:rFonts w:ascii="Trebuchet MS" w:eastAsia="Times New Roman" w:hAnsi="Trebuchet MS" w:cs="Calibri"/>
                <w:color w:val="000000"/>
                <w:kern w:val="0"/>
                <w:sz w:val="20"/>
                <w:szCs w:val="20"/>
                <w:lang w:eastAsia="lt-LT"/>
              </w:rPr>
              <w:t xml:space="preserve"> – Šalčininkai. Sumontuojami 110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OL Vilnius – </w:t>
            </w:r>
            <w:proofErr w:type="spellStart"/>
            <w:r>
              <w:rPr>
                <w:rFonts w:ascii="Trebuchet MS" w:eastAsia="Times New Roman" w:hAnsi="Trebuchet MS" w:cs="Calibri"/>
                <w:color w:val="000000"/>
                <w:kern w:val="0"/>
                <w:sz w:val="20"/>
                <w:szCs w:val="20"/>
                <w:lang w:eastAsia="lt-LT"/>
              </w:rPr>
              <w:t>Jašiūnai</w:t>
            </w:r>
            <w:proofErr w:type="spellEnd"/>
            <w:r>
              <w:rPr>
                <w:rFonts w:ascii="Trebuchet MS" w:eastAsia="Times New Roman" w:hAnsi="Trebuchet MS" w:cs="Calibri"/>
                <w:color w:val="000000"/>
                <w:kern w:val="0"/>
                <w:sz w:val="20"/>
                <w:szCs w:val="20"/>
                <w:lang w:eastAsia="lt-LT"/>
              </w:rPr>
              <w:t xml:space="preserve"> laidai nuo galinės atramos Nr.1/166 iki naujai sumontuoto portalo. Tuo pačiu lygiagrečiai išmontuojami OL </w:t>
            </w:r>
            <w:proofErr w:type="spellStart"/>
            <w:r>
              <w:rPr>
                <w:rFonts w:ascii="Trebuchet MS" w:eastAsia="Times New Roman" w:hAnsi="Trebuchet MS" w:cs="Calibri"/>
                <w:color w:val="000000"/>
                <w:kern w:val="0"/>
                <w:sz w:val="20"/>
                <w:szCs w:val="20"/>
                <w:lang w:eastAsia="lt-LT"/>
              </w:rPr>
              <w:t>Jašiūnai</w:t>
            </w:r>
            <w:proofErr w:type="spellEnd"/>
            <w:r>
              <w:rPr>
                <w:rFonts w:ascii="Trebuchet MS" w:eastAsia="Times New Roman" w:hAnsi="Trebuchet MS" w:cs="Calibri"/>
                <w:color w:val="000000"/>
                <w:kern w:val="0"/>
                <w:sz w:val="20"/>
                <w:szCs w:val="20"/>
                <w:lang w:eastAsia="lt-LT"/>
              </w:rPr>
              <w:t xml:space="preserve"> – Šalčininkai laidai nuo galinės atramos Nr.1/166 iki esamo linijinio portalo. Detalūs sprendiniai yra pateikiami elektros linijų dalyje (darbų trukmė 1 d. d.);</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45E3E3AB"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atlikta</w:t>
            </w:r>
          </w:p>
        </w:tc>
      </w:tr>
      <w:tr w:rsidR="009815D4" w14:paraId="45646BB4" w14:textId="77777777">
        <w:tblPrEx>
          <w:tblCellMar>
            <w:top w:w="0" w:type="dxa"/>
            <w:bottom w:w="0" w:type="dxa"/>
          </w:tblCellMar>
        </w:tblPrEx>
        <w:trPr>
          <w:trHeight w:val="288"/>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279D9673" w14:textId="77777777" w:rsidR="009815D4" w:rsidRDefault="00000000">
            <w:pPr>
              <w:pStyle w:val="ListParagraph"/>
              <w:numPr>
                <w:ilvl w:val="0"/>
                <w:numId w:val="1"/>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 xml:space="preserve"> Įjungiamos tarpusavyje sujungtos 110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OL Vilnius – </w:t>
            </w:r>
            <w:proofErr w:type="spellStart"/>
            <w:r>
              <w:rPr>
                <w:rFonts w:ascii="Trebuchet MS" w:eastAsia="Times New Roman" w:hAnsi="Trebuchet MS" w:cs="Calibri"/>
                <w:color w:val="000000"/>
                <w:kern w:val="0"/>
                <w:sz w:val="20"/>
                <w:szCs w:val="20"/>
                <w:lang w:eastAsia="lt-LT"/>
              </w:rPr>
              <w:t>Jašiūnai</w:t>
            </w:r>
            <w:proofErr w:type="spellEnd"/>
            <w:r>
              <w:rPr>
                <w:rFonts w:ascii="Trebuchet MS" w:eastAsia="Times New Roman" w:hAnsi="Trebuchet MS" w:cs="Calibri"/>
                <w:color w:val="000000"/>
                <w:kern w:val="0"/>
                <w:sz w:val="20"/>
                <w:szCs w:val="20"/>
                <w:lang w:eastAsia="lt-LT"/>
              </w:rPr>
              <w:t xml:space="preserve"> ir </w:t>
            </w:r>
            <w:proofErr w:type="spellStart"/>
            <w:r>
              <w:rPr>
                <w:rFonts w:ascii="Trebuchet MS" w:eastAsia="Times New Roman" w:hAnsi="Trebuchet MS" w:cs="Calibri"/>
                <w:color w:val="000000"/>
                <w:kern w:val="0"/>
                <w:sz w:val="20"/>
                <w:szCs w:val="20"/>
                <w:lang w:eastAsia="lt-LT"/>
              </w:rPr>
              <w:t>Jašiūnai</w:t>
            </w:r>
            <w:proofErr w:type="spellEnd"/>
            <w:r>
              <w:rPr>
                <w:rFonts w:ascii="Trebuchet MS" w:eastAsia="Times New Roman" w:hAnsi="Trebuchet MS" w:cs="Calibri"/>
                <w:color w:val="000000"/>
                <w:kern w:val="0"/>
                <w:sz w:val="20"/>
                <w:szCs w:val="20"/>
                <w:lang w:eastAsia="lt-LT"/>
              </w:rPr>
              <w:t xml:space="preserve"> – Šalčininkai, bei </w:t>
            </w:r>
            <w:proofErr w:type="spellStart"/>
            <w:r>
              <w:rPr>
                <w:rFonts w:ascii="Trebuchet MS" w:eastAsia="Times New Roman" w:hAnsi="Trebuchet MS" w:cs="Calibri"/>
                <w:color w:val="000000"/>
                <w:kern w:val="0"/>
                <w:sz w:val="20"/>
                <w:szCs w:val="20"/>
                <w:lang w:eastAsia="lt-LT"/>
              </w:rPr>
              <w:t>Jašiūnų</w:t>
            </w:r>
            <w:proofErr w:type="spellEnd"/>
            <w:r>
              <w:rPr>
                <w:rFonts w:ascii="Trebuchet MS" w:eastAsia="Times New Roman" w:hAnsi="Trebuchet MS" w:cs="Calibri"/>
                <w:color w:val="000000"/>
                <w:kern w:val="0"/>
                <w:sz w:val="20"/>
                <w:szCs w:val="20"/>
                <w:lang w:eastAsia="lt-LT"/>
              </w:rPr>
              <w:t xml:space="preserve"> TP galios transformatorius T-1, Š1-110 (Š2-110, galios </w:t>
            </w:r>
            <w:proofErr w:type="spellStart"/>
            <w:r>
              <w:rPr>
                <w:rFonts w:ascii="Trebuchet MS" w:eastAsia="Times New Roman" w:hAnsi="Trebuchet MS" w:cs="Calibri"/>
                <w:color w:val="000000"/>
                <w:kern w:val="0"/>
                <w:sz w:val="20"/>
                <w:szCs w:val="20"/>
                <w:lang w:eastAsia="lt-LT"/>
              </w:rPr>
              <w:t>tr-rius</w:t>
            </w:r>
            <w:proofErr w:type="spellEnd"/>
            <w:r>
              <w:rPr>
                <w:rFonts w:ascii="Trebuchet MS" w:eastAsia="Times New Roman" w:hAnsi="Trebuchet MS" w:cs="Calibri"/>
                <w:color w:val="000000"/>
                <w:kern w:val="0"/>
                <w:sz w:val="20"/>
                <w:szCs w:val="20"/>
                <w:lang w:eastAsia="lt-LT"/>
              </w:rPr>
              <w:t xml:space="preserve"> T-2 lieka atjungti);</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63A17DCF"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atlikta</w:t>
            </w:r>
          </w:p>
        </w:tc>
      </w:tr>
      <w:tr w:rsidR="009815D4" w14:paraId="038D9451" w14:textId="77777777">
        <w:tblPrEx>
          <w:tblCellMar>
            <w:top w:w="0" w:type="dxa"/>
            <w:bottom w:w="0" w:type="dxa"/>
          </w:tblCellMar>
        </w:tblPrEx>
        <w:trPr>
          <w:trHeight w:val="288"/>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3884BBBF" w14:textId="77777777" w:rsidR="009815D4" w:rsidRDefault="00000000">
            <w:pPr>
              <w:pStyle w:val="ListParagraph"/>
              <w:numPr>
                <w:ilvl w:val="0"/>
                <w:numId w:val="1"/>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 xml:space="preserve"> Pastotė įjungiama bandomajai eksploatacijai (pagal patvirtintą 1-mo etapo įjungimo programą) Įjungimo programą parengia Rangovas ir suderina su Užsakovu bei ESO).</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572362AE"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atlikta</w:t>
            </w:r>
          </w:p>
        </w:tc>
      </w:tr>
      <w:tr w:rsidR="009815D4" w14:paraId="5F0A65BA" w14:textId="77777777">
        <w:tblPrEx>
          <w:tblCellMar>
            <w:top w:w="0" w:type="dxa"/>
            <w:bottom w:w="0" w:type="dxa"/>
          </w:tblCellMar>
        </w:tblPrEx>
        <w:trPr>
          <w:trHeight w:val="288"/>
        </w:trPr>
        <w:tc>
          <w:tcPr>
            <w:tcW w:w="105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bottom"/>
          </w:tcPr>
          <w:p w14:paraId="697F9880" w14:textId="77777777" w:rsidR="009815D4" w:rsidRDefault="00000000">
            <w:pPr>
              <w:suppressAutoHyphens w:val="0"/>
              <w:spacing w:after="0"/>
              <w:jc w:val="center"/>
              <w:rPr>
                <w:rFonts w:ascii="Trebuchet MS" w:eastAsia="Times New Roman" w:hAnsi="Trebuchet MS" w:cs="Calibri"/>
                <w:b/>
                <w:bCs/>
                <w:i/>
                <w:iCs/>
                <w:color w:val="000000"/>
                <w:kern w:val="0"/>
                <w:sz w:val="20"/>
                <w:szCs w:val="20"/>
                <w:u w:val="single"/>
                <w:lang w:eastAsia="lt-LT"/>
              </w:rPr>
            </w:pPr>
            <w:r>
              <w:rPr>
                <w:rFonts w:ascii="Trebuchet MS" w:eastAsia="Times New Roman" w:hAnsi="Trebuchet MS" w:cs="Calibri"/>
                <w:b/>
                <w:bCs/>
                <w:i/>
                <w:iCs/>
                <w:color w:val="000000"/>
                <w:kern w:val="0"/>
                <w:sz w:val="20"/>
                <w:szCs w:val="20"/>
                <w:u w:val="single"/>
                <w:lang w:eastAsia="lt-LT"/>
              </w:rPr>
              <w:t>II statybos etapas</w:t>
            </w:r>
          </w:p>
        </w:tc>
      </w:tr>
      <w:tr w:rsidR="009815D4" w14:paraId="3D19CA7B" w14:textId="77777777">
        <w:tblPrEx>
          <w:tblCellMar>
            <w:top w:w="0" w:type="dxa"/>
            <w:bottom w:w="0" w:type="dxa"/>
          </w:tblCellMar>
        </w:tblPrEx>
        <w:trPr>
          <w:trHeight w:val="288"/>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2CED7ABF" w14:textId="77777777" w:rsidR="009815D4" w:rsidRDefault="00000000">
            <w:pPr>
              <w:pStyle w:val="ListParagraph"/>
              <w:numPr>
                <w:ilvl w:val="0"/>
                <w:numId w:val="2"/>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Įrengiami atitvarai nuo veikiančių įrenginių. Atliekant kėlimo darbus laikomasi saugaus atstumo nuo veikiančių įrenginių;</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2D8AB3A0"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neatlikta</w:t>
            </w:r>
          </w:p>
        </w:tc>
      </w:tr>
      <w:tr w:rsidR="009815D4" w14:paraId="72BF8DD0" w14:textId="77777777">
        <w:tblPrEx>
          <w:tblCellMar>
            <w:top w:w="0" w:type="dxa"/>
            <w:bottom w:w="0" w:type="dxa"/>
          </w:tblCellMar>
        </w:tblPrEx>
        <w:trPr>
          <w:trHeight w:val="505"/>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2179A3DB" w14:textId="77777777" w:rsidR="009815D4" w:rsidRDefault="00000000">
            <w:pPr>
              <w:pStyle w:val="ListParagraph"/>
              <w:numPr>
                <w:ilvl w:val="0"/>
                <w:numId w:val="2"/>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 xml:space="preserve">Išmontuojami 110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OL </w:t>
            </w:r>
            <w:proofErr w:type="spellStart"/>
            <w:r>
              <w:rPr>
                <w:rFonts w:ascii="Trebuchet MS" w:eastAsia="Times New Roman" w:hAnsi="Trebuchet MS" w:cs="Calibri"/>
                <w:color w:val="000000"/>
                <w:kern w:val="0"/>
                <w:sz w:val="20"/>
                <w:szCs w:val="20"/>
                <w:lang w:eastAsia="lt-LT"/>
              </w:rPr>
              <w:t>Jašiūnai</w:t>
            </w:r>
            <w:proofErr w:type="spellEnd"/>
            <w:r>
              <w:rPr>
                <w:rFonts w:ascii="Trebuchet MS" w:eastAsia="Times New Roman" w:hAnsi="Trebuchet MS" w:cs="Calibri"/>
                <w:color w:val="000000"/>
                <w:kern w:val="0"/>
                <w:sz w:val="20"/>
                <w:szCs w:val="20"/>
                <w:lang w:eastAsia="lt-LT"/>
              </w:rPr>
              <w:t xml:space="preserve"> – Šalčininkai ir T-102 prijunginių esami 110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įrenginiai, lauko spintos, kabeliai bei kabelių kanalai;</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528FD3DC"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neatlikta</w:t>
            </w:r>
          </w:p>
        </w:tc>
      </w:tr>
      <w:tr w:rsidR="009815D4" w14:paraId="75C2D841" w14:textId="77777777">
        <w:tblPrEx>
          <w:tblCellMar>
            <w:top w:w="0" w:type="dxa"/>
            <w:bottom w:w="0" w:type="dxa"/>
          </w:tblCellMar>
        </w:tblPrEx>
        <w:trPr>
          <w:trHeight w:val="505"/>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39B05E2C" w14:textId="77777777" w:rsidR="009815D4" w:rsidRDefault="00000000">
            <w:pPr>
              <w:pStyle w:val="ListParagraph"/>
              <w:numPr>
                <w:ilvl w:val="0"/>
                <w:numId w:val="2"/>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Išmontuojama sena įranga ESO patalpose ir perduodama Litgrid (kai rekonstrukcijos eigoje tampa nereikalinga). Tai apima pirmo ir antro etapo įrangą ESO patalpose;</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3E199055"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neatlikta</w:t>
            </w:r>
          </w:p>
        </w:tc>
      </w:tr>
      <w:tr w:rsidR="009815D4" w14:paraId="345DE5EF" w14:textId="77777777">
        <w:tblPrEx>
          <w:tblCellMar>
            <w:top w:w="0" w:type="dxa"/>
            <w:bottom w:w="0" w:type="dxa"/>
          </w:tblCellMar>
        </w:tblPrEx>
        <w:trPr>
          <w:trHeight w:val="505"/>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4EEF2B7A" w14:textId="77777777" w:rsidR="009815D4" w:rsidRDefault="00000000">
            <w:pPr>
              <w:pStyle w:val="ListParagraph"/>
              <w:numPr>
                <w:ilvl w:val="0"/>
                <w:numId w:val="2"/>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Išmontuojami seni portalai ir kitos nebereikalingos konstrukcijos ESO pastotės pusėje – pirmo ir antro etapo apimtyje;</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4863B685"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neatlikta</w:t>
            </w:r>
          </w:p>
        </w:tc>
      </w:tr>
      <w:tr w:rsidR="009815D4" w14:paraId="40E509C6" w14:textId="77777777">
        <w:tblPrEx>
          <w:tblCellMar>
            <w:top w:w="0" w:type="dxa"/>
            <w:bottom w:w="0" w:type="dxa"/>
          </w:tblCellMar>
        </w:tblPrEx>
        <w:trPr>
          <w:trHeight w:val="576"/>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114ABE98" w14:textId="77777777" w:rsidR="009815D4" w:rsidRDefault="00000000">
            <w:pPr>
              <w:pStyle w:val="ListParagraph"/>
              <w:numPr>
                <w:ilvl w:val="0"/>
                <w:numId w:val="2"/>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 xml:space="preserve">Atliekami 35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ir </w:t>
            </w:r>
            <w:proofErr w:type="spellStart"/>
            <w:r>
              <w:rPr>
                <w:rFonts w:ascii="Trebuchet MS" w:eastAsia="Times New Roman" w:hAnsi="Trebuchet MS" w:cs="Calibri"/>
                <w:color w:val="000000"/>
                <w:kern w:val="0"/>
                <w:sz w:val="20"/>
                <w:szCs w:val="20"/>
                <w:lang w:eastAsia="lt-LT"/>
              </w:rPr>
              <w:t>tr-riaus</w:t>
            </w:r>
            <w:proofErr w:type="spellEnd"/>
            <w:r>
              <w:rPr>
                <w:rFonts w:ascii="Trebuchet MS" w:eastAsia="Times New Roman" w:hAnsi="Trebuchet MS" w:cs="Calibri"/>
                <w:color w:val="000000"/>
                <w:kern w:val="0"/>
                <w:sz w:val="20"/>
                <w:szCs w:val="20"/>
                <w:lang w:eastAsia="lt-LT"/>
              </w:rPr>
              <w:t xml:space="preserve"> T-2 RAA grandinių perderinimo ir nuostatų keitimo darbai tam kad užtikrinti galimybę saugiai įjungti atjungtą galios </w:t>
            </w:r>
            <w:proofErr w:type="spellStart"/>
            <w:r>
              <w:rPr>
                <w:rFonts w:ascii="Trebuchet MS" w:eastAsia="Times New Roman" w:hAnsi="Trebuchet MS" w:cs="Calibri"/>
                <w:color w:val="000000"/>
                <w:kern w:val="0"/>
                <w:sz w:val="20"/>
                <w:szCs w:val="20"/>
                <w:lang w:eastAsia="lt-LT"/>
              </w:rPr>
              <w:t>tr-rių</w:t>
            </w:r>
            <w:proofErr w:type="spellEnd"/>
            <w:r>
              <w:rPr>
                <w:rFonts w:ascii="Trebuchet MS" w:eastAsia="Times New Roman" w:hAnsi="Trebuchet MS" w:cs="Calibri"/>
                <w:color w:val="000000"/>
                <w:kern w:val="0"/>
                <w:sz w:val="20"/>
                <w:szCs w:val="20"/>
                <w:lang w:eastAsia="lt-LT"/>
              </w:rPr>
              <w:t xml:space="preserve"> T-2 per atbulinę transformaciją iš 35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tinklo. Darbus atlieka ESO rangovas;</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7B7E8C9B"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neatlikta</w:t>
            </w:r>
          </w:p>
        </w:tc>
      </w:tr>
      <w:tr w:rsidR="009815D4" w14:paraId="03CF2B95" w14:textId="77777777">
        <w:tblPrEx>
          <w:tblCellMar>
            <w:top w:w="0" w:type="dxa"/>
            <w:bottom w:w="0" w:type="dxa"/>
          </w:tblCellMar>
        </w:tblPrEx>
        <w:trPr>
          <w:trHeight w:val="576"/>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2DB4C753" w14:textId="77777777" w:rsidR="009815D4" w:rsidRDefault="00000000">
            <w:pPr>
              <w:pStyle w:val="ListParagraph"/>
              <w:numPr>
                <w:ilvl w:val="0"/>
                <w:numId w:val="2"/>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 xml:space="preserve">Įrengiami nauji pamatai ir metalo konstrukcijos naujai projektuojamų 110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prijunginių 110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OL </w:t>
            </w:r>
            <w:proofErr w:type="spellStart"/>
            <w:r>
              <w:rPr>
                <w:rFonts w:ascii="Trebuchet MS" w:eastAsia="Times New Roman" w:hAnsi="Trebuchet MS" w:cs="Calibri"/>
                <w:color w:val="000000"/>
                <w:kern w:val="0"/>
                <w:sz w:val="20"/>
                <w:szCs w:val="20"/>
                <w:lang w:eastAsia="lt-LT"/>
              </w:rPr>
              <w:t>Jašiūnai</w:t>
            </w:r>
            <w:proofErr w:type="spellEnd"/>
            <w:r>
              <w:rPr>
                <w:rFonts w:ascii="Trebuchet MS" w:eastAsia="Times New Roman" w:hAnsi="Trebuchet MS" w:cs="Calibri"/>
                <w:color w:val="000000"/>
                <w:kern w:val="0"/>
                <w:sz w:val="20"/>
                <w:szCs w:val="20"/>
                <w:lang w:eastAsia="lt-LT"/>
              </w:rPr>
              <w:t xml:space="preserve"> – Šalčininkai, T-102 ir TS-100-2. Paklojamas naujas įžeminimo kontūras;</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0B4F7F31"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neatlikta</w:t>
            </w:r>
          </w:p>
        </w:tc>
      </w:tr>
      <w:tr w:rsidR="009815D4" w14:paraId="472A53B0" w14:textId="77777777">
        <w:tblPrEx>
          <w:tblCellMar>
            <w:top w:w="0" w:type="dxa"/>
            <w:bottom w:w="0" w:type="dxa"/>
          </w:tblCellMar>
        </w:tblPrEx>
        <w:trPr>
          <w:trHeight w:val="349"/>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3DC7B01F" w14:textId="77777777" w:rsidR="009815D4" w:rsidRDefault="00000000">
            <w:pPr>
              <w:pStyle w:val="ListParagraph"/>
              <w:numPr>
                <w:ilvl w:val="0"/>
                <w:numId w:val="2"/>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lastRenderedPageBreak/>
              <w:t xml:space="preserve">Ant įrengtų konstrukcijų sumontuojami nauji 110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įrenginiai. Atliekami naujų įrenginių </w:t>
            </w:r>
            <w:proofErr w:type="spellStart"/>
            <w:r>
              <w:rPr>
                <w:rFonts w:ascii="Trebuchet MS" w:eastAsia="Times New Roman" w:hAnsi="Trebuchet MS" w:cs="Calibri"/>
                <w:color w:val="000000"/>
                <w:kern w:val="0"/>
                <w:sz w:val="20"/>
                <w:szCs w:val="20"/>
                <w:lang w:eastAsia="lt-LT"/>
              </w:rPr>
              <w:t>apšynavimo</w:t>
            </w:r>
            <w:proofErr w:type="spellEnd"/>
            <w:r>
              <w:rPr>
                <w:rFonts w:ascii="Trebuchet MS" w:eastAsia="Times New Roman" w:hAnsi="Trebuchet MS" w:cs="Calibri"/>
                <w:color w:val="000000"/>
                <w:kern w:val="0"/>
                <w:sz w:val="20"/>
                <w:szCs w:val="20"/>
                <w:lang w:eastAsia="lt-LT"/>
              </w:rPr>
              <w:t xml:space="preserve"> darbai;</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30BC698F"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neatlikta</w:t>
            </w:r>
          </w:p>
        </w:tc>
      </w:tr>
      <w:tr w:rsidR="009815D4" w14:paraId="30A0379F" w14:textId="77777777">
        <w:tblPrEx>
          <w:tblCellMar>
            <w:top w:w="0" w:type="dxa"/>
            <w:bottom w:w="0" w:type="dxa"/>
          </w:tblCellMar>
        </w:tblPrEx>
        <w:trPr>
          <w:trHeight w:val="254"/>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3DD95E61" w14:textId="77777777" w:rsidR="009815D4" w:rsidRDefault="00000000">
            <w:pPr>
              <w:pStyle w:val="ListParagraph"/>
              <w:numPr>
                <w:ilvl w:val="0"/>
                <w:numId w:val="2"/>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 xml:space="preserve">Rekonstruojamoje 110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skirstyklos dalyje įrengiami likę nauji kabelių kanalai.</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5706881A"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neatlikta</w:t>
            </w:r>
          </w:p>
        </w:tc>
      </w:tr>
      <w:tr w:rsidR="009815D4" w14:paraId="0426543C" w14:textId="77777777">
        <w:tblPrEx>
          <w:tblCellMar>
            <w:top w:w="0" w:type="dxa"/>
            <w:bottom w:w="0" w:type="dxa"/>
          </w:tblCellMar>
        </w:tblPrEx>
        <w:trPr>
          <w:trHeight w:val="288"/>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0D829100" w14:textId="77777777" w:rsidR="009815D4" w:rsidRDefault="00000000">
            <w:pPr>
              <w:pStyle w:val="ListParagraph"/>
              <w:numPr>
                <w:ilvl w:val="0"/>
                <w:numId w:val="2"/>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Įrengiamos 2-jo etapo antrinių grandinių lauko gnybtų spintos, esamoje KAS spintoje 2-jo etapo komercinės elektros energijos apskaitos įranga. Sumontuojami teritorijos apšvietimo įrenginiai;</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6501765A"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neatlikta</w:t>
            </w:r>
          </w:p>
        </w:tc>
      </w:tr>
      <w:tr w:rsidR="009815D4" w14:paraId="6FFAD00B" w14:textId="77777777">
        <w:tblPrEx>
          <w:tblCellMar>
            <w:top w:w="0" w:type="dxa"/>
            <w:bottom w:w="0" w:type="dxa"/>
          </w:tblCellMar>
        </w:tblPrEx>
        <w:trPr>
          <w:trHeight w:val="185"/>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4D7A26BC" w14:textId="77777777" w:rsidR="009815D4" w:rsidRDefault="00000000">
            <w:pPr>
              <w:pStyle w:val="ListParagraph"/>
              <w:numPr>
                <w:ilvl w:val="0"/>
                <w:numId w:val="2"/>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 xml:space="preserve">Paklojami su 2 etapu susiję ir TP 110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skirstyklos pilnam funkcionalumui užtikrinti trūkstami galios ir kontroliniai kabeliai;</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622CE930"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neatlikta</w:t>
            </w:r>
          </w:p>
        </w:tc>
      </w:tr>
      <w:tr w:rsidR="009815D4" w14:paraId="74B9BAB3" w14:textId="77777777">
        <w:tblPrEx>
          <w:tblCellMar>
            <w:top w:w="0" w:type="dxa"/>
            <w:bottom w:w="0" w:type="dxa"/>
          </w:tblCellMar>
        </w:tblPrEx>
        <w:trPr>
          <w:trHeight w:val="174"/>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040C2EA2" w14:textId="77777777" w:rsidR="009815D4" w:rsidRDefault="00000000">
            <w:pPr>
              <w:pStyle w:val="ListParagraph"/>
              <w:numPr>
                <w:ilvl w:val="0"/>
                <w:numId w:val="2"/>
              </w:numPr>
              <w:tabs>
                <w:tab w:val="left" w:pos="314"/>
                <w:tab w:val="left" w:pos="450"/>
              </w:tabs>
              <w:suppressAutoHyphens w:val="0"/>
              <w:spacing w:after="0"/>
              <w:ind w:left="30" w:firstLine="0"/>
            </w:pPr>
            <w:r>
              <w:rPr>
                <w:rFonts w:ascii="Trebuchet MS" w:eastAsia="Times New Roman" w:hAnsi="Trebuchet MS" w:cs="Calibri"/>
                <w:color w:val="000000"/>
                <w:kern w:val="0"/>
                <w:sz w:val="20"/>
                <w:szCs w:val="20"/>
                <w:lang w:eastAsia="lt-LT"/>
              </w:rPr>
              <w:t>Atliekami naujai sumontuotos įrangos konfigūravimo, derinimo ir paleidimo bei testavimo darbai. Atliekami kompleksiniai bandymai Litgrid AB su DVS;</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6265C169"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neatlikta</w:t>
            </w:r>
          </w:p>
        </w:tc>
      </w:tr>
      <w:tr w:rsidR="009815D4" w14:paraId="5B0DBF47" w14:textId="77777777">
        <w:tblPrEx>
          <w:tblCellMar>
            <w:top w:w="0" w:type="dxa"/>
            <w:bottom w:w="0" w:type="dxa"/>
          </w:tblCellMar>
        </w:tblPrEx>
        <w:trPr>
          <w:trHeight w:val="288"/>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143C51E7" w14:textId="77777777" w:rsidR="009815D4" w:rsidRDefault="00000000">
            <w:pPr>
              <w:pStyle w:val="ListParagraph"/>
              <w:numPr>
                <w:ilvl w:val="0"/>
                <w:numId w:val="2"/>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 xml:space="preserve"> Atliekami visos reikalingos operatyvinės dokumentacijos pridavimo ir derinimo su Užsakovu, operatyvinio personalo mokymo ir Techninio įvertinimo komisijos rengimo darbai;</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691EBB8B"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neatlikta</w:t>
            </w:r>
          </w:p>
        </w:tc>
      </w:tr>
      <w:tr w:rsidR="009815D4" w14:paraId="4C486A22" w14:textId="77777777">
        <w:tblPrEx>
          <w:tblCellMar>
            <w:top w:w="0" w:type="dxa"/>
            <w:bottom w:w="0" w:type="dxa"/>
          </w:tblCellMar>
        </w:tblPrEx>
        <w:trPr>
          <w:trHeight w:val="288"/>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396FE355" w14:textId="77777777" w:rsidR="009815D4" w:rsidRDefault="00000000">
            <w:pPr>
              <w:pStyle w:val="ListParagraph"/>
              <w:numPr>
                <w:ilvl w:val="0"/>
                <w:numId w:val="2"/>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 xml:space="preserve"> Atjungiamos tarpusavyje sujungtos 110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OL Vilnius – </w:t>
            </w:r>
            <w:proofErr w:type="spellStart"/>
            <w:r>
              <w:rPr>
                <w:rFonts w:ascii="Trebuchet MS" w:eastAsia="Times New Roman" w:hAnsi="Trebuchet MS" w:cs="Calibri"/>
                <w:color w:val="000000"/>
                <w:kern w:val="0"/>
                <w:sz w:val="20"/>
                <w:szCs w:val="20"/>
                <w:lang w:eastAsia="lt-LT"/>
              </w:rPr>
              <w:t>Jašiūnai</w:t>
            </w:r>
            <w:proofErr w:type="spellEnd"/>
            <w:r>
              <w:rPr>
                <w:rFonts w:ascii="Trebuchet MS" w:eastAsia="Times New Roman" w:hAnsi="Trebuchet MS" w:cs="Calibri"/>
                <w:color w:val="000000"/>
                <w:kern w:val="0"/>
                <w:sz w:val="20"/>
                <w:szCs w:val="20"/>
                <w:lang w:eastAsia="lt-LT"/>
              </w:rPr>
              <w:t xml:space="preserve"> ir </w:t>
            </w:r>
            <w:proofErr w:type="spellStart"/>
            <w:r>
              <w:rPr>
                <w:rFonts w:ascii="Trebuchet MS" w:eastAsia="Times New Roman" w:hAnsi="Trebuchet MS" w:cs="Calibri"/>
                <w:color w:val="000000"/>
                <w:kern w:val="0"/>
                <w:sz w:val="20"/>
                <w:szCs w:val="20"/>
                <w:lang w:eastAsia="lt-LT"/>
              </w:rPr>
              <w:t>Jašiūnai</w:t>
            </w:r>
            <w:proofErr w:type="spellEnd"/>
            <w:r>
              <w:rPr>
                <w:rFonts w:ascii="Trebuchet MS" w:eastAsia="Times New Roman" w:hAnsi="Trebuchet MS" w:cs="Calibri"/>
                <w:color w:val="000000"/>
                <w:kern w:val="0"/>
                <w:sz w:val="20"/>
                <w:szCs w:val="20"/>
                <w:lang w:eastAsia="lt-LT"/>
              </w:rPr>
              <w:t xml:space="preserve"> – Šalčininkai bei </w:t>
            </w:r>
            <w:proofErr w:type="spellStart"/>
            <w:r>
              <w:rPr>
                <w:rFonts w:ascii="Trebuchet MS" w:eastAsia="Times New Roman" w:hAnsi="Trebuchet MS" w:cs="Calibri"/>
                <w:color w:val="000000"/>
                <w:kern w:val="0"/>
                <w:sz w:val="20"/>
                <w:szCs w:val="20"/>
                <w:lang w:eastAsia="lt-LT"/>
              </w:rPr>
              <w:t>Jašiūnų</w:t>
            </w:r>
            <w:proofErr w:type="spellEnd"/>
            <w:r>
              <w:rPr>
                <w:rFonts w:ascii="Trebuchet MS" w:eastAsia="Times New Roman" w:hAnsi="Trebuchet MS" w:cs="Calibri"/>
                <w:color w:val="000000"/>
                <w:kern w:val="0"/>
                <w:sz w:val="20"/>
                <w:szCs w:val="20"/>
                <w:lang w:eastAsia="lt-LT"/>
              </w:rPr>
              <w:t xml:space="preserve"> TP Š1-110, galios </w:t>
            </w:r>
            <w:proofErr w:type="spellStart"/>
            <w:r>
              <w:rPr>
                <w:rFonts w:ascii="Trebuchet MS" w:eastAsia="Times New Roman" w:hAnsi="Trebuchet MS" w:cs="Calibri"/>
                <w:color w:val="000000"/>
                <w:kern w:val="0"/>
                <w:sz w:val="20"/>
                <w:szCs w:val="20"/>
                <w:lang w:eastAsia="lt-LT"/>
              </w:rPr>
              <w:t>tr-rius</w:t>
            </w:r>
            <w:proofErr w:type="spellEnd"/>
            <w:r>
              <w:rPr>
                <w:rFonts w:ascii="Trebuchet MS" w:eastAsia="Times New Roman" w:hAnsi="Trebuchet MS" w:cs="Calibri"/>
                <w:color w:val="000000"/>
                <w:kern w:val="0"/>
                <w:sz w:val="20"/>
                <w:szCs w:val="20"/>
                <w:lang w:eastAsia="lt-LT"/>
              </w:rPr>
              <w:t xml:space="preserve"> T-1 (</w:t>
            </w:r>
            <w:proofErr w:type="spellStart"/>
            <w:r>
              <w:rPr>
                <w:rFonts w:ascii="Trebuchet MS" w:eastAsia="Times New Roman" w:hAnsi="Trebuchet MS" w:cs="Calibri"/>
                <w:color w:val="000000"/>
                <w:kern w:val="0"/>
                <w:sz w:val="20"/>
                <w:szCs w:val="20"/>
                <w:lang w:eastAsia="lt-LT"/>
              </w:rPr>
              <w:t>Jašiūnų</w:t>
            </w:r>
            <w:proofErr w:type="spellEnd"/>
            <w:r>
              <w:rPr>
                <w:rFonts w:ascii="Trebuchet MS" w:eastAsia="Times New Roman" w:hAnsi="Trebuchet MS" w:cs="Calibri"/>
                <w:color w:val="000000"/>
                <w:kern w:val="0"/>
                <w:sz w:val="20"/>
                <w:szCs w:val="20"/>
                <w:lang w:eastAsia="lt-LT"/>
              </w:rPr>
              <w:t xml:space="preserve"> TP išjungimas iš 110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pusės). Atliekamas laikinų jungčių išmontavimas galinėje atramoje Nr.1/166. RAA nuostatų keitimas Vilniaus TP ir Šalčininkų TP. Sujungiamos Š1-110, Š2-110 (priklausomai kur buvo paliktas nutraukimas);</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1470F3DF"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neatlikta</w:t>
            </w:r>
          </w:p>
        </w:tc>
      </w:tr>
      <w:tr w:rsidR="009815D4" w14:paraId="31634B9D" w14:textId="77777777">
        <w:tblPrEx>
          <w:tblCellMar>
            <w:top w:w="0" w:type="dxa"/>
            <w:bottom w:w="0" w:type="dxa"/>
          </w:tblCellMar>
        </w:tblPrEx>
        <w:trPr>
          <w:trHeight w:val="657"/>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111C7611" w14:textId="77777777" w:rsidR="009815D4" w:rsidRDefault="00000000">
            <w:pPr>
              <w:pStyle w:val="ListParagraph"/>
              <w:numPr>
                <w:ilvl w:val="0"/>
                <w:numId w:val="2"/>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 xml:space="preserve"> Sumontuojami 110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OL </w:t>
            </w:r>
            <w:proofErr w:type="spellStart"/>
            <w:r>
              <w:rPr>
                <w:rFonts w:ascii="Trebuchet MS" w:eastAsia="Times New Roman" w:hAnsi="Trebuchet MS" w:cs="Calibri"/>
                <w:color w:val="000000"/>
                <w:kern w:val="0"/>
                <w:sz w:val="20"/>
                <w:szCs w:val="20"/>
                <w:lang w:eastAsia="lt-LT"/>
              </w:rPr>
              <w:t>Jašiūnai</w:t>
            </w:r>
            <w:proofErr w:type="spellEnd"/>
            <w:r>
              <w:rPr>
                <w:rFonts w:ascii="Trebuchet MS" w:eastAsia="Times New Roman" w:hAnsi="Trebuchet MS" w:cs="Calibri"/>
                <w:color w:val="000000"/>
                <w:kern w:val="0"/>
                <w:sz w:val="20"/>
                <w:szCs w:val="20"/>
                <w:lang w:eastAsia="lt-LT"/>
              </w:rPr>
              <w:t xml:space="preserve"> – Šalčininkai laidai nuo galinės atramos Nr.1/166 iki naujai sumontuoto portalo. Detalūs sprendiniai yra pateikiami elektros linijų dalyje (10,11 p. darbų trukmė 1 d. d.);</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0BEA2A3E"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neatlikta</w:t>
            </w:r>
          </w:p>
        </w:tc>
      </w:tr>
      <w:tr w:rsidR="009815D4" w14:paraId="16520B08" w14:textId="77777777">
        <w:tblPrEx>
          <w:tblCellMar>
            <w:top w:w="0" w:type="dxa"/>
            <w:bottom w:w="0" w:type="dxa"/>
          </w:tblCellMar>
        </w:tblPrEx>
        <w:trPr>
          <w:trHeight w:val="241"/>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49589DA0" w14:textId="77777777" w:rsidR="009815D4" w:rsidRDefault="00000000">
            <w:pPr>
              <w:pStyle w:val="ListParagraph"/>
              <w:numPr>
                <w:ilvl w:val="0"/>
                <w:numId w:val="2"/>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 xml:space="preserve"> Įjungiama 110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OL Vilnius – </w:t>
            </w:r>
            <w:proofErr w:type="spellStart"/>
            <w:r>
              <w:rPr>
                <w:rFonts w:ascii="Trebuchet MS" w:eastAsia="Times New Roman" w:hAnsi="Trebuchet MS" w:cs="Calibri"/>
                <w:color w:val="000000"/>
                <w:kern w:val="0"/>
                <w:sz w:val="20"/>
                <w:szCs w:val="20"/>
                <w:lang w:eastAsia="lt-LT"/>
              </w:rPr>
              <w:t>Jašiūnai</w:t>
            </w:r>
            <w:proofErr w:type="spellEnd"/>
            <w:r>
              <w:rPr>
                <w:rFonts w:ascii="Trebuchet MS" w:eastAsia="Times New Roman" w:hAnsi="Trebuchet MS" w:cs="Calibri"/>
                <w:color w:val="000000"/>
                <w:kern w:val="0"/>
                <w:sz w:val="20"/>
                <w:szCs w:val="20"/>
                <w:lang w:eastAsia="lt-LT"/>
              </w:rPr>
              <w:t xml:space="preserve"> ir </w:t>
            </w:r>
            <w:proofErr w:type="spellStart"/>
            <w:r>
              <w:rPr>
                <w:rFonts w:ascii="Trebuchet MS" w:eastAsia="Times New Roman" w:hAnsi="Trebuchet MS" w:cs="Calibri"/>
                <w:color w:val="000000"/>
                <w:kern w:val="0"/>
                <w:sz w:val="20"/>
                <w:szCs w:val="20"/>
                <w:lang w:eastAsia="lt-LT"/>
              </w:rPr>
              <w:t>Jašiūnų</w:t>
            </w:r>
            <w:proofErr w:type="spellEnd"/>
            <w:r>
              <w:rPr>
                <w:rFonts w:ascii="Trebuchet MS" w:eastAsia="Times New Roman" w:hAnsi="Trebuchet MS" w:cs="Calibri"/>
                <w:color w:val="000000"/>
                <w:kern w:val="0"/>
                <w:sz w:val="20"/>
                <w:szCs w:val="20"/>
                <w:lang w:eastAsia="lt-LT"/>
              </w:rPr>
              <w:t xml:space="preserve"> TP Š1-110, galios </w:t>
            </w:r>
            <w:proofErr w:type="spellStart"/>
            <w:r>
              <w:rPr>
                <w:rFonts w:ascii="Trebuchet MS" w:eastAsia="Times New Roman" w:hAnsi="Trebuchet MS" w:cs="Calibri"/>
                <w:color w:val="000000"/>
                <w:kern w:val="0"/>
                <w:sz w:val="20"/>
                <w:szCs w:val="20"/>
                <w:lang w:eastAsia="lt-LT"/>
              </w:rPr>
              <w:t>tr-rius</w:t>
            </w:r>
            <w:proofErr w:type="spellEnd"/>
            <w:r>
              <w:rPr>
                <w:rFonts w:ascii="Trebuchet MS" w:eastAsia="Times New Roman" w:hAnsi="Trebuchet MS" w:cs="Calibri"/>
                <w:color w:val="000000"/>
                <w:kern w:val="0"/>
                <w:sz w:val="20"/>
                <w:szCs w:val="20"/>
                <w:lang w:eastAsia="lt-LT"/>
              </w:rPr>
              <w:t xml:space="preserve"> T-1;</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67A3E9ED"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neatlikta</w:t>
            </w:r>
          </w:p>
        </w:tc>
      </w:tr>
      <w:tr w:rsidR="009815D4" w14:paraId="6814A02F" w14:textId="77777777">
        <w:tblPrEx>
          <w:tblCellMar>
            <w:top w:w="0" w:type="dxa"/>
            <w:bottom w:w="0" w:type="dxa"/>
          </w:tblCellMar>
        </w:tblPrEx>
        <w:trPr>
          <w:trHeight w:val="288"/>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647DF4E4" w14:textId="77777777" w:rsidR="009815D4" w:rsidRDefault="00000000">
            <w:pPr>
              <w:pStyle w:val="ListParagraph"/>
              <w:numPr>
                <w:ilvl w:val="0"/>
                <w:numId w:val="2"/>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 xml:space="preserve"> Atliekami 35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ir galios </w:t>
            </w:r>
            <w:proofErr w:type="spellStart"/>
            <w:r>
              <w:rPr>
                <w:rFonts w:ascii="Trebuchet MS" w:eastAsia="Times New Roman" w:hAnsi="Trebuchet MS" w:cs="Calibri"/>
                <w:color w:val="000000"/>
                <w:kern w:val="0"/>
                <w:sz w:val="20"/>
                <w:szCs w:val="20"/>
                <w:lang w:eastAsia="lt-LT"/>
              </w:rPr>
              <w:t>tr-riaus</w:t>
            </w:r>
            <w:proofErr w:type="spellEnd"/>
            <w:r>
              <w:rPr>
                <w:rFonts w:ascii="Trebuchet MS" w:eastAsia="Times New Roman" w:hAnsi="Trebuchet MS" w:cs="Calibri"/>
                <w:color w:val="000000"/>
                <w:kern w:val="0"/>
                <w:sz w:val="20"/>
                <w:szCs w:val="20"/>
                <w:lang w:eastAsia="lt-LT"/>
              </w:rPr>
              <w:t xml:space="preserve"> T-2 RAA grandinių perderinimo ir nuostatų keitimo darbai, tam kad būtu galima įjungti galios </w:t>
            </w:r>
            <w:proofErr w:type="spellStart"/>
            <w:r>
              <w:rPr>
                <w:rFonts w:ascii="Trebuchet MS" w:eastAsia="Times New Roman" w:hAnsi="Trebuchet MS" w:cs="Calibri"/>
                <w:color w:val="000000"/>
                <w:kern w:val="0"/>
                <w:sz w:val="20"/>
                <w:szCs w:val="20"/>
                <w:lang w:eastAsia="lt-LT"/>
              </w:rPr>
              <w:t>tr-rių</w:t>
            </w:r>
            <w:proofErr w:type="spellEnd"/>
            <w:r>
              <w:rPr>
                <w:rFonts w:ascii="Trebuchet MS" w:eastAsia="Times New Roman" w:hAnsi="Trebuchet MS" w:cs="Calibri"/>
                <w:color w:val="000000"/>
                <w:kern w:val="0"/>
                <w:sz w:val="20"/>
                <w:szCs w:val="20"/>
                <w:lang w:eastAsia="lt-LT"/>
              </w:rPr>
              <w:t xml:space="preserve"> T-2 iš 110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tinklo. Darbus atlieka ESO rangovas;</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4F28B781"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neatlikta</w:t>
            </w:r>
          </w:p>
        </w:tc>
      </w:tr>
      <w:tr w:rsidR="009815D4" w14:paraId="2FA96284" w14:textId="77777777">
        <w:tblPrEx>
          <w:tblCellMar>
            <w:top w:w="0" w:type="dxa"/>
            <w:bottom w:w="0" w:type="dxa"/>
          </w:tblCellMar>
        </w:tblPrEx>
        <w:trPr>
          <w:trHeight w:val="288"/>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7A52207C" w14:textId="77777777" w:rsidR="009815D4" w:rsidRDefault="00000000">
            <w:pPr>
              <w:pStyle w:val="ListParagraph"/>
              <w:numPr>
                <w:ilvl w:val="0"/>
                <w:numId w:val="2"/>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 xml:space="preserve"> Įjungiama 110 </w:t>
            </w:r>
            <w:proofErr w:type="spellStart"/>
            <w:r>
              <w:rPr>
                <w:rFonts w:ascii="Trebuchet MS" w:eastAsia="Times New Roman" w:hAnsi="Trebuchet MS" w:cs="Calibri"/>
                <w:color w:val="000000"/>
                <w:kern w:val="0"/>
                <w:sz w:val="20"/>
                <w:szCs w:val="20"/>
                <w:lang w:eastAsia="lt-LT"/>
              </w:rPr>
              <w:t>kV</w:t>
            </w:r>
            <w:proofErr w:type="spellEnd"/>
            <w:r>
              <w:rPr>
                <w:rFonts w:ascii="Trebuchet MS" w:eastAsia="Times New Roman" w:hAnsi="Trebuchet MS" w:cs="Calibri"/>
                <w:color w:val="000000"/>
                <w:kern w:val="0"/>
                <w:sz w:val="20"/>
                <w:szCs w:val="20"/>
                <w:lang w:eastAsia="lt-LT"/>
              </w:rPr>
              <w:t xml:space="preserve"> OL </w:t>
            </w:r>
            <w:proofErr w:type="spellStart"/>
            <w:r>
              <w:rPr>
                <w:rFonts w:ascii="Trebuchet MS" w:eastAsia="Times New Roman" w:hAnsi="Trebuchet MS" w:cs="Calibri"/>
                <w:color w:val="000000"/>
                <w:kern w:val="0"/>
                <w:sz w:val="20"/>
                <w:szCs w:val="20"/>
                <w:lang w:eastAsia="lt-LT"/>
              </w:rPr>
              <w:t>Jašiūnai</w:t>
            </w:r>
            <w:proofErr w:type="spellEnd"/>
            <w:r>
              <w:rPr>
                <w:rFonts w:ascii="Trebuchet MS" w:eastAsia="Times New Roman" w:hAnsi="Trebuchet MS" w:cs="Calibri"/>
                <w:color w:val="000000"/>
                <w:kern w:val="0"/>
                <w:sz w:val="20"/>
                <w:szCs w:val="20"/>
                <w:lang w:eastAsia="lt-LT"/>
              </w:rPr>
              <w:t xml:space="preserve"> – Šalčininkai ir </w:t>
            </w:r>
            <w:proofErr w:type="spellStart"/>
            <w:r>
              <w:rPr>
                <w:rFonts w:ascii="Trebuchet MS" w:eastAsia="Times New Roman" w:hAnsi="Trebuchet MS" w:cs="Calibri"/>
                <w:color w:val="000000"/>
                <w:kern w:val="0"/>
                <w:sz w:val="20"/>
                <w:szCs w:val="20"/>
                <w:lang w:eastAsia="lt-LT"/>
              </w:rPr>
              <w:t>Jašiūnų</w:t>
            </w:r>
            <w:proofErr w:type="spellEnd"/>
            <w:r>
              <w:rPr>
                <w:rFonts w:ascii="Trebuchet MS" w:eastAsia="Times New Roman" w:hAnsi="Trebuchet MS" w:cs="Calibri"/>
                <w:color w:val="000000"/>
                <w:kern w:val="0"/>
                <w:sz w:val="20"/>
                <w:szCs w:val="20"/>
                <w:lang w:eastAsia="lt-LT"/>
              </w:rPr>
              <w:t xml:space="preserve"> TP Š2-110, TS-100, galios </w:t>
            </w:r>
            <w:proofErr w:type="spellStart"/>
            <w:r>
              <w:rPr>
                <w:rFonts w:ascii="Trebuchet MS" w:eastAsia="Times New Roman" w:hAnsi="Trebuchet MS" w:cs="Calibri"/>
                <w:color w:val="000000"/>
                <w:kern w:val="0"/>
                <w:sz w:val="20"/>
                <w:szCs w:val="20"/>
                <w:lang w:eastAsia="lt-LT"/>
              </w:rPr>
              <w:t>tr-rius</w:t>
            </w:r>
            <w:proofErr w:type="spellEnd"/>
            <w:r>
              <w:rPr>
                <w:rFonts w:ascii="Trebuchet MS" w:eastAsia="Times New Roman" w:hAnsi="Trebuchet MS" w:cs="Calibri"/>
                <w:color w:val="000000"/>
                <w:kern w:val="0"/>
                <w:sz w:val="20"/>
                <w:szCs w:val="20"/>
                <w:lang w:eastAsia="lt-LT"/>
              </w:rPr>
              <w:t xml:space="preserve"> T-2. Pastotė įjungiama bandomajai eksploatacijai (pagal patvirtintą 2-jo etapo įjungimo programą) Įjungimo programą parengia Rangovas ir suderina su Užsakovu bei ESO);</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3BB52717"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neatlikta</w:t>
            </w:r>
          </w:p>
        </w:tc>
      </w:tr>
      <w:tr w:rsidR="009815D4" w14:paraId="318B279D" w14:textId="77777777">
        <w:tblPrEx>
          <w:tblCellMar>
            <w:top w:w="0" w:type="dxa"/>
            <w:bottom w:w="0" w:type="dxa"/>
          </w:tblCellMar>
        </w:tblPrEx>
        <w:trPr>
          <w:trHeight w:val="288"/>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10352E88" w14:textId="77777777" w:rsidR="009815D4" w:rsidRDefault="00000000">
            <w:pPr>
              <w:pStyle w:val="ListParagraph"/>
              <w:numPr>
                <w:ilvl w:val="0"/>
                <w:numId w:val="2"/>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 xml:space="preserve"> Įrengiamas lauko tualetas;</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6346E34F"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neatlikta</w:t>
            </w:r>
          </w:p>
        </w:tc>
      </w:tr>
      <w:tr w:rsidR="009815D4" w14:paraId="16D32180" w14:textId="77777777">
        <w:tblPrEx>
          <w:tblCellMar>
            <w:top w:w="0" w:type="dxa"/>
            <w:bottom w:w="0" w:type="dxa"/>
          </w:tblCellMar>
        </w:tblPrEx>
        <w:trPr>
          <w:trHeight w:val="288"/>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427B8AAD" w14:textId="77777777" w:rsidR="009815D4" w:rsidRDefault="00000000">
            <w:pPr>
              <w:pStyle w:val="ListParagraph"/>
              <w:numPr>
                <w:ilvl w:val="0"/>
                <w:numId w:val="2"/>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 xml:space="preserve"> Įrengiama tvora;</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1883E41E"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neatlikta</w:t>
            </w:r>
          </w:p>
        </w:tc>
      </w:tr>
      <w:tr w:rsidR="009815D4" w14:paraId="1050C4E1" w14:textId="77777777">
        <w:tblPrEx>
          <w:tblCellMar>
            <w:top w:w="0" w:type="dxa"/>
            <w:bottom w:w="0" w:type="dxa"/>
          </w:tblCellMar>
        </w:tblPrEx>
        <w:trPr>
          <w:trHeight w:val="223"/>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3CB8F3BB" w14:textId="77777777" w:rsidR="009815D4" w:rsidRDefault="00000000">
            <w:pPr>
              <w:pStyle w:val="ListParagraph"/>
              <w:numPr>
                <w:ilvl w:val="0"/>
                <w:numId w:val="2"/>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 xml:space="preserve"> Atliekami likę </w:t>
            </w:r>
            <w:proofErr w:type="spellStart"/>
            <w:r>
              <w:rPr>
                <w:rFonts w:ascii="Trebuchet MS" w:eastAsia="Times New Roman" w:hAnsi="Trebuchet MS" w:cs="Calibri"/>
                <w:color w:val="000000"/>
                <w:kern w:val="0"/>
                <w:sz w:val="20"/>
                <w:szCs w:val="20"/>
                <w:lang w:eastAsia="lt-LT"/>
              </w:rPr>
              <w:t>gerbūvio</w:t>
            </w:r>
            <w:proofErr w:type="spellEnd"/>
            <w:r>
              <w:rPr>
                <w:rFonts w:ascii="Trebuchet MS" w:eastAsia="Times New Roman" w:hAnsi="Trebuchet MS" w:cs="Calibri"/>
                <w:color w:val="000000"/>
                <w:kern w:val="0"/>
                <w:sz w:val="20"/>
                <w:szCs w:val="20"/>
                <w:lang w:eastAsia="lt-LT"/>
              </w:rPr>
              <w:t xml:space="preserve"> sutvarkymo darbai;</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1E6B2AAC"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neatlikta</w:t>
            </w:r>
          </w:p>
        </w:tc>
      </w:tr>
      <w:tr w:rsidR="009815D4" w14:paraId="36D45F89" w14:textId="77777777">
        <w:tblPrEx>
          <w:tblCellMar>
            <w:top w:w="0" w:type="dxa"/>
            <w:bottom w:w="0" w:type="dxa"/>
          </w:tblCellMar>
        </w:tblPrEx>
        <w:trPr>
          <w:trHeight w:val="128"/>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059DAEA7" w14:textId="77777777" w:rsidR="009815D4" w:rsidRDefault="00000000">
            <w:pPr>
              <w:pStyle w:val="ListParagraph"/>
              <w:numPr>
                <w:ilvl w:val="0"/>
                <w:numId w:val="2"/>
              </w:numPr>
              <w:tabs>
                <w:tab w:val="left" w:pos="314"/>
              </w:tabs>
              <w:suppressAutoHyphens w:val="0"/>
              <w:spacing w:after="0"/>
              <w:ind w:left="30" w:firstLine="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 xml:space="preserve"> Pastotė pervedama į normalų darbo režimą.</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0D41F804"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neatlikta</w:t>
            </w:r>
          </w:p>
        </w:tc>
      </w:tr>
      <w:tr w:rsidR="009815D4" w14:paraId="20DFB99E" w14:textId="77777777">
        <w:tblPrEx>
          <w:tblCellMar>
            <w:top w:w="0" w:type="dxa"/>
            <w:bottom w:w="0" w:type="dxa"/>
          </w:tblCellMar>
        </w:tblPrEx>
        <w:trPr>
          <w:trHeight w:val="288"/>
        </w:trPr>
        <w:tc>
          <w:tcPr>
            <w:tcW w:w="105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bottom"/>
          </w:tcPr>
          <w:p w14:paraId="0C61D973" w14:textId="77777777" w:rsidR="009815D4" w:rsidRDefault="00000000">
            <w:pPr>
              <w:suppressAutoHyphens w:val="0"/>
              <w:spacing w:after="0"/>
              <w:jc w:val="center"/>
              <w:rPr>
                <w:rFonts w:ascii="Trebuchet MS" w:eastAsia="Times New Roman" w:hAnsi="Trebuchet MS" w:cs="Calibri"/>
                <w:b/>
                <w:bCs/>
                <w:i/>
                <w:iCs/>
                <w:color w:val="000000"/>
                <w:kern w:val="0"/>
                <w:sz w:val="20"/>
                <w:szCs w:val="20"/>
                <w:u w:val="single"/>
                <w:lang w:eastAsia="lt-LT"/>
              </w:rPr>
            </w:pPr>
            <w:r>
              <w:rPr>
                <w:rFonts w:ascii="Trebuchet MS" w:eastAsia="Times New Roman" w:hAnsi="Trebuchet MS" w:cs="Calibri"/>
                <w:b/>
                <w:bCs/>
                <w:i/>
                <w:iCs/>
                <w:color w:val="000000"/>
                <w:kern w:val="0"/>
                <w:sz w:val="20"/>
                <w:szCs w:val="20"/>
                <w:u w:val="single"/>
                <w:lang w:eastAsia="lt-LT"/>
              </w:rPr>
              <w:t>Statybos užbaigimo akto gavimo procedūros</w:t>
            </w:r>
          </w:p>
        </w:tc>
      </w:tr>
      <w:tr w:rsidR="009815D4" w14:paraId="451D5C14" w14:textId="77777777">
        <w:tblPrEx>
          <w:tblCellMar>
            <w:top w:w="0" w:type="dxa"/>
            <w:bottom w:w="0" w:type="dxa"/>
          </w:tblCellMar>
        </w:tblPrEx>
        <w:trPr>
          <w:trHeight w:val="288"/>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41E095A6" w14:textId="77777777" w:rsidR="009815D4" w:rsidRDefault="00000000">
            <w:pPr>
              <w:tabs>
                <w:tab w:val="left" w:pos="175"/>
              </w:tabs>
              <w:suppressAutoHyphens w:val="0"/>
              <w:spacing w:after="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1.       Statybos užbaigimo procedūrų organizavimas, reikalingų dokumentų parengimas/derinimas.</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5FD9E46F"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neatlikta</w:t>
            </w:r>
          </w:p>
        </w:tc>
      </w:tr>
      <w:tr w:rsidR="009815D4" w14:paraId="2D646CA9" w14:textId="77777777">
        <w:tblPrEx>
          <w:tblCellMar>
            <w:top w:w="0" w:type="dxa"/>
            <w:bottom w:w="0" w:type="dxa"/>
          </w:tblCellMar>
        </w:tblPrEx>
        <w:trPr>
          <w:trHeight w:val="288"/>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1262385F" w14:textId="77777777" w:rsidR="009815D4" w:rsidRDefault="00000000">
            <w:pPr>
              <w:suppressAutoHyphens w:val="0"/>
              <w:spacing w:after="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2.       Galutinė statybos užbaigimo komisija.</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5D194477"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neatlikta</w:t>
            </w:r>
          </w:p>
        </w:tc>
      </w:tr>
      <w:tr w:rsidR="009815D4" w14:paraId="4C8754E8" w14:textId="77777777">
        <w:tblPrEx>
          <w:tblCellMar>
            <w:top w:w="0" w:type="dxa"/>
            <w:bottom w:w="0" w:type="dxa"/>
          </w:tblCellMar>
        </w:tblPrEx>
        <w:trPr>
          <w:trHeight w:val="288"/>
        </w:trPr>
        <w:tc>
          <w:tcPr>
            <w:tcW w:w="8217"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00A96AA9" w14:textId="77777777" w:rsidR="009815D4" w:rsidRDefault="00000000">
            <w:pPr>
              <w:suppressAutoHyphens w:val="0"/>
              <w:spacing w:after="0"/>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3.       Gautas pasirašytas statybos užbaigimo aktas ir pateiktas LITGRID AB.</w:t>
            </w:r>
          </w:p>
        </w:tc>
        <w:tc>
          <w:tcPr>
            <w:tcW w:w="2312" w:type="dxa"/>
            <w:tcBorders>
              <w:bottom w:val="single" w:sz="4" w:space="0" w:color="000000"/>
              <w:right w:val="single" w:sz="4" w:space="0" w:color="000000"/>
            </w:tcBorders>
            <w:noWrap/>
            <w:tcMar>
              <w:top w:w="0" w:type="dxa"/>
              <w:left w:w="108" w:type="dxa"/>
              <w:bottom w:w="0" w:type="dxa"/>
              <w:right w:w="108" w:type="dxa"/>
            </w:tcMar>
            <w:vAlign w:val="center"/>
          </w:tcPr>
          <w:p w14:paraId="7E6D9202" w14:textId="77777777" w:rsidR="009815D4" w:rsidRDefault="00000000">
            <w:pPr>
              <w:suppressAutoHyphens w:val="0"/>
              <w:spacing w:after="0"/>
              <w:jc w:val="center"/>
              <w:rPr>
                <w:rFonts w:ascii="Trebuchet MS" w:eastAsia="Times New Roman" w:hAnsi="Trebuchet MS" w:cs="Calibri"/>
                <w:color w:val="000000"/>
                <w:kern w:val="0"/>
                <w:sz w:val="20"/>
                <w:szCs w:val="20"/>
                <w:lang w:eastAsia="lt-LT"/>
              </w:rPr>
            </w:pPr>
            <w:r>
              <w:rPr>
                <w:rFonts w:ascii="Trebuchet MS" w:eastAsia="Times New Roman" w:hAnsi="Trebuchet MS" w:cs="Calibri"/>
                <w:color w:val="000000"/>
                <w:kern w:val="0"/>
                <w:sz w:val="20"/>
                <w:szCs w:val="20"/>
                <w:lang w:eastAsia="lt-LT"/>
              </w:rPr>
              <w:t>neatlikta</w:t>
            </w:r>
          </w:p>
        </w:tc>
      </w:tr>
    </w:tbl>
    <w:p w14:paraId="7ED12929" w14:textId="77777777" w:rsidR="009815D4" w:rsidRDefault="009815D4">
      <w:pPr>
        <w:widowControl w:val="0"/>
        <w:tabs>
          <w:tab w:val="left" w:pos="9923"/>
        </w:tabs>
        <w:autoSpaceDE w:val="0"/>
        <w:spacing w:after="0"/>
        <w:ind w:left="142" w:right="141" w:firstLine="425"/>
        <w:jc w:val="both"/>
        <w:rPr>
          <w:rFonts w:ascii="Trebuchet MS" w:eastAsia="Times New Roman" w:hAnsi="Trebuchet MS"/>
          <w:kern w:val="0"/>
          <w:sz w:val="20"/>
          <w:szCs w:val="20"/>
        </w:rPr>
      </w:pPr>
    </w:p>
    <w:sectPr w:rsidR="009815D4">
      <w:headerReference w:type="default" r:id="rId7"/>
      <w:pgSz w:w="12240" w:h="15840"/>
      <w:pgMar w:top="1134" w:right="567" w:bottom="1134" w:left="1134" w:header="709" w:footer="70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A7997" w14:textId="77777777" w:rsidR="0004153D" w:rsidRDefault="0004153D">
      <w:pPr>
        <w:spacing w:after="0"/>
      </w:pPr>
      <w:r>
        <w:separator/>
      </w:r>
    </w:p>
  </w:endnote>
  <w:endnote w:type="continuationSeparator" w:id="0">
    <w:p w14:paraId="65712E9E" w14:textId="77777777" w:rsidR="0004153D" w:rsidRDefault="000415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0CD70" w14:textId="77777777" w:rsidR="0004153D" w:rsidRDefault="0004153D">
      <w:pPr>
        <w:spacing w:after="0"/>
      </w:pPr>
      <w:r>
        <w:rPr>
          <w:color w:val="000000"/>
        </w:rPr>
        <w:separator/>
      </w:r>
    </w:p>
  </w:footnote>
  <w:footnote w:type="continuationSeparator" w:id="0">
    <w:p w14:paraId="413CD7C8" w14:textId="77777777" w:rsidR="0004153D" w:rsidRDefault="000415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CF9C" w14:textId="77777777" w:rsidR="00000000" w:rsidRDefault="00000000">
    <w:pPr>
      <w:tabs>
        <w:tab w:val="center" w:pos="4153"/>
        <w:tab w:val="right" w:pos="8306"/>
      </w:tabs>
      <w:spacing w:after="0"/>
      <w:jc w:val="right"/>
    </w:pPr>
    <w:r>
      <w:rPr>
        <w:rFonts w:ascii="Times New Roman" w:eastAsia="Times New Roman" w:hAnsi="Times New Roman" w:cs="Times New Roman"/>
        <w:noProof/>
        <w:kern w:val="0"/>
        <w:sz w:val="24"/>
        <w:szCs w:val="24"/>
        <w:lang w:eastAsia="lt-LT"/>
      </w:rPr>
      <w:drawing>
        <wp:anchor distT="0" distB="0" distL="114300" distR="114300" simplePos="0" relativeHeight="251659264" behindDoc="0" locked="0" layoutInCell="1" allowOverlap="1" wp14:anchorId="2DEE093A" wp14:editId="1FE4C1AD">
          <wp:simplePos x="0" y="0"/>
          <wp:positionH relativeFrom="column">
            <wp:posOffset>-499747</wp:posOffset>
          </wp:positionH>
          <wp:positionV relativeFrom="paragraph">
            <wp:posOffset>135166</wp:posOffset>
          </wp:positionV>
          <wp:extent cx="381003" cy="568957"/>
          <wp:effectExtent l="0" t="0" r="0" b="2543"/>
          <wp:wrapTight wrapText="bothSides">
            <wp:wrapPolygon edited="0">
              <wp:start x="0" y="0"/>
              <wp:lineTo x="0" y="20973"/>
              <wp:lineTo x="20520" y="20973"/>
              <wp:lineTo x="20520" y="0"/>
              <wp:lineTo x="0" y="0"/>
            </wp:wrapPolygon>
          </wp:wrapTight>
          <wp:docPr id="2094026158" name="Picture 1" descr="Litgrid_CMYK_sodri_melyna_3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81003" cy="568957"/>
                  </a:xfrm>
                  <a:prstGeom prst="rect">
                    <a:avLst/>
                  </a:prstGeom>
                  <a:noFill/>
                  <a:ln>
                    <a:noFill/>
                    <a:prstDash/>
                  </a:ln>
                </pic:spPr>
              </pic:pic>
            </a:graphicData>
          </a:graphic>
        </wp:anchor>
      </w:drawing>
    </w:r>
    <w:r>
      <w:rPr>
        <w:rFonts w:ascii="Times New Roman" w:eastAsia="Times New Roman" w:hAnsi="Times New Roman" w:cs="Times New Roman"/>
        <w:i/>
        <w:kern w:val="0"/>
        <w:sz w:val="24"/>
        <w:szCs w:val="24"/>
        <w:lang w:val="en-GB"/>
      </w:rPr>
      <w:t xml:space="preserve"> </w:t>
    </w:r>
    <w:r>
      <w:rPr>
        <w:rFonts w:ascii="Times New Roman" w:eastAsia="Times New Roman" w:hAnsi="Times New Roman" w:cs="Times New Roman"/>
        <w:kern w:val="0"/>
        <w:sz w:val="24"/>
        <w:szCs w:val="24"/>
        <w:lang w:val="en-GB"/>
      </w:rPr>
      <w:t xml:space="preserve">    </w:t>
    </w:r>
    <w:r>
      <w:rPr>
        <w:rFonts w:ascii="Times New Roman" w:eastAsia="Times New Roman" w:hAnsi="Times New Roman" w:cs="Times New Roman"/>
        <w:i/>
        <w:kern w:val="0"/>
        <w:sz w:val="24"/>
        <w:szCs w:val="24"/>
        <w:lang w:val="en-GB"/>
      </w:rPr>
      <w:t xml:space="preserve"> </w:t>
    </w:r>
    <w:r>
      <w:rPr>
        <w:rFonts w:ascii="Trebuchet MS" w:eastAsia="Times New Roman" w:hAnsi="Trebuchet MS"/>
        <w:i/>
        <w:kern w:val="0"/>
        <w:sz w:val="18"/>
        <w:szCs w:val="18"/>
      </w:rPr>
      <w:t xml:space="preserve">110/10 </w:t>
    </w:r>
    <w:proofErr w:type="spellStart"/>
    <w:r>
      <w:rPr>
        <w:rFonts w:ascii="Trebuchet MS" w:eastAsia="Times New Roman" w:hAnsi="Trebuchet MS"/>
        <w:i/>
        <w:kern w:val="0"/>
        <w:sz w:val="18"/>
        <w:szCs w:val="18"/>
      </w:rPr>
      <w:t>kV</w:t>
    </w:r>
    <w:proofErr w:type="spellEnd"/>
    <w:r>
      <w:rPr>
        <w:rFonts w:ascii="Trebuchet MS" w:eastAsia="Times New Roman" w:hAnsi="Trebuchet MS"/>
        <w:i/>
        <w:kern w:val="0"/>
        <w:sz w:val="18"/>
        <w:szCs w:val="18"/>
      </w:rPr>
      <w:t xml:space="preserve"> </w:t>
    </w:r>
    <w:proofErr w:type="spellStart"/>
    <w:r>
      <w:rPr>
        <w:rFonts w:ascii="Trebuchet MS" w:eastAsia="Times New Roman" w:hAnsi="Trebuchet MS"/>
        <w:i/>
        <w:kern w:val="0"/>
        <w:sz w:val="18"/>
        <w:szCs w:val="18"/>
      </w:rPr>
      <w:t>Jašiūnų</w:t>
    </w:r>
    <w:proofErr w:type="spellEnd"/>
    <w:r>
      <w:rPr>
        <w:rFonts w:ascii="Trebuchet MS" w:eastAsia="Times New Roman" w:hAnsi="Trebuchet MS"/>
        <w:i/>
        <w:kern w:val="0"/>
        <w:sz w:val="18"/>
        <w:szCs w:val="18"/>
      </w:rPr>
      <w:t xml:space="preserve"> TP 110 </w:t>
    </w:r>
    <w:proofErr w:type="spellStart"/>
    <w:r>
      <w:rPr>
        <w:rFonts w:ascii="Trebuchet MS" w:eastAsia="Times New Roman" w:hAnsi="Trebuchet MS"/>
        <w:i/>
        <w:kern w:val="0"/>
        <w:sz w:val="18"/>
        <w:szCs w:val="18"/>
      </w:rPr>
      <w:t>kV</w:t>
    </w:r>
    <w:proofErr w:type="spellEnd"/>
    <w:r>
      <w:rPr>
        <w:rFonts w:ascii="Trebuchet MS" w:eastAsia="Times New Roman" w:hAnsi="Trebuchet MS"/>
        <w:i/>
        <w:kern w:val="0"/>
        <w:sz w:val="18"/>
        <w:szCs w:val="18"/>
      </w:rPr>
      <w:t xml:space="preserve"> skirstyklos rekonstravimas, </w:t>
    </w:r>
    <w:proofErr w:type="spellStart"/>
    <w:r>
      <w:rPr>
        <w:rFonts w:ascii="Trebuchet MS" w:eastAsia="Times New Roman" w:hAnsi="Trebuchet MS"/>
        <w:i/>
        <w:kern w:val="0"/>
        <w:sz w:val="18"/>
        <w:szCs w:val="18"/>
      </w:rPr>
      <w:t>inv</w:t>
    </w:r>
    <w:proofErr w:type="spellEnd"/>
    <w:r>
      <w:rPr>
        <w:rFonts w:ascii="Trebuchet MS" w:eastAsia="Times New Roman" w:hAnsi="Trebuchet MS"/>
        <w:i/>
        <w:kern w:val="0"/>
        <w:sz w:val="18"/>
        <w:szCs w:val="18"/>
      </w:rPr>
      <w:t>. projekto Nr. PPRV18059</w:t>
    </w:r>
  </w:p>
  <w:p w14:paraId="3E205516" w14:textId="77777777" w:rsidR="00000000" w:rsidRDefault="00000000">
    <w:pPr>
      <w:tabs>
        <w:tab w:val="center" w:pos="4153"/>
        <w:tab w:val="right" w:pos="8306"/>
      </w:tabs>
      <w:spacing w:after="0"/>
      <w:jc w:val="both"/>
      <w:rPr>
        <w:rFonts w:ascii="Times New Roman" w:eastAsia="Times New Roman" w:hAnsi="Times New Roman" w:cs="Times New Roman"/>
        <w:kern w:val="0"/>
        <w:sz w:val="24"/>
        <w:szCs w:val="24"/>
        <w:lang w:val="en-GB"/>
      </w:rPr>
    </w:pPr>
    <w:r>
      <w:rPr>
        <w:rFonts w:ascii="Times New Roman" w:eastAsia="Times New Roman" w:hAnsi="Times New Roman" w:cs="Times New Roman"/>
        <w:kern w:val="0"/>
        <w:sz w:val="24"/>
        <w:szCs w:val="24"/>
        <w:lang w:val="en-GB"/>
      </w:rPr>
      <w:t xml:space="preserve"> _______________________________________________________________________________________</w:t>
    </w:r>
  </w:p>
  <w:p w14:paraId="796CF66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61716"/>
    <w:multiLevelType w:val="multilevel"/>
    <w:tmpl w:val="C4F455FA"/>
    <w:lvl w:ilvl="0">
      <w:start w:val="1"/>
      <w:numFmt w:val="decimal"/>
      <w:lvlText w:val="%1."/>
      <w:lvlJc w:val="left"/>
      <w:pPr>
        <w:ind w:left="390" w:hanging="360"/>
      </w:pPr>
    </w:lvl>
    <w:lvl w:ilvl="1">
      <w:start w:val="1"/>
      <w:numFmt w:val="lowerLetter"/>
      <w:lvlText w:val="."/>
      <w:lvlJc w:val="left"/>
      <w:pPr>
        <w:ind w:left="1110" w:hanging="360"/>
      </w:pPr>
    </w:lvl>
    <w:lvl w:ilvl="2">
      <w:start w:val="1"/>
      <w:numFmt w:val="lowerRoman"/>
      <w:lvlText w:val="."/>
      <w:lvlJc w:val="right"/>
      <w:pPr>
        <w:ind w:left="1830" w:hanging="180"/>
      </w:pPr>
    </w:lvl>
    <w:lvl w:ilvl="3">
      <w:start w:val="1"/>
      <w:numFmt w:val="decimal"/>
      <w:lvlText w:val="."/>
      <w:lvlJc w:val="left"/>
      <w:pPr>
        <w:ind w:left="2550" w:hanging="360"/>
      </w:pPr>
    </w:lvl>
    <w:lvl w:ilvl="4">
      <w:start w:val="1"/>
      <w:numFmt w:val="lowerLetter"/>
      <w:lvlText w:val="."/>
      <w:lvlJc w:val="left"/>
      <w:pPr>
        <w:ind w:left="3270" w:hanging="360"/>
      </w:pPr>
    </w:lvl>
    <w:lvl w:ilvl="5">
      <w:start w:val="1"/>
      <w:numFmt w:val="lowerRoman"/>
      <w:lvlText w:val="."/>
      <w:lvlJc w:val="right"/>
      <w:pPr>
        <w:ind w:left="3990" w:hanging="180"/>
      </w:pPr>
    </w:lvl>
    <w:lvl w:ilvl="6">
      <w:start w:val="1"/>
      <w:numFmt w:val="decimal"/>
      <w:lvlText w:val="."/>
      <w:lvlJc w:val="left"/>
      <w:pPr>
        <w:ind w:left="4710" w:hanging="360"/>
      </w:pPr>
    </w:lvl>
    <w:lvl w:ilvl="7">
      <w:start w:val="1"/>
      <w:numFmt w:val="lowerLetter"/>
      <w:lvlText w:val="."/>
      <w:lvlJc w:val="left"/>
      <w:pPr>
        <w:ind w:left="5430" w:hanging="360"/>
      </w:pPr>
    </w:lvl>
    <w:lvl w:ilvl="8">
      <w:start w:val="1"/>
      <w:numFmt w:val="lowerRoman"/>
      <w:lvlText w:val="."/>
      <w:lvlJc w:val="right"/>
      <w:pPr>
        <w:ind w:left="6150" w:hanging="180"/>
      </w:pPr>
    </w:lvl>
  </w:abstractNum>
  <w:abstractNum w:abstractNumId="1" w15:restartNumberingAfterBreak="0">
    <w:nsid w:val="5CF33278"/>
    <w:multiLevelType w:val="multilevel"/>
    <w:tmpl w:val="B97C5D3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494953734">
    <w:abstractNumId w:val="1"/>
  </w:num>
  <w:num w:numId="2" w16cid:durableId="1831674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815D4"/>
    <w:rsid w:val="0004153D"/>
    <w:rsid w:val="00473EB6"/>
    <w:rsid w:val="009815D4"/>
    <w:rsid w:val="00F811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3897"/>
  <w15:docId w15:val="{E19042A0-8729-4C8C-B00A-6DF22376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2"/>
        <w:szCs w:val="22"/>
        <w:lang w:val="lt-LT"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cs="Times New Roman"/>
      <w:i/>
      <w:iCs/>
      <w:color w:val="595959"/>
    </w:rPr>
  </w:style>
  <w:style w:type="paragraph" w:styleId="Heading7">
    <w:name w:val="heading 7"/>
    <w:basedOn w:val="Normal"/>
    <w:next w:val="Normal"/>
    <w:pPr>
      <w:keepNext/>
      <w:keepLines/>
      <w:spacing w:before="40" w:after="0"/>
      <w:outlineLvl w:val="6"/>
    </w:pPr>
    <w:rPr>
      <w:rFonts w:eastAsia="Times New Roman" w:cs="Times New Roman"/>
      <w:color w:val="595959"/>
    </w:rPr>
  </w:style>
  <w:style w:type="paragraph" w:styleId="Heading8">
    <w:name w:val="heading 8"/>
    <w:basedOn w:val="Normal"/>
    <w:next w:val="Normal"/>
    <w:pPr>
      <w:keepNext/>
      <w:keepLines/>
      <w:spacing w:after="0"/>
      <w:outlineLvl w:val="7"/>
    </w:pPr>
    <w:rPr>
      <w:rFonts w:eastAsia="Times New Roman" w:cs="Times New Roman"/>
      <w:i/>
      <w:iCs/>
      <w:color w:val="272727"/>
    </w:rPr>
  </w:style>
  <w:style w:type="paragraph" w:styleId="Heading9">
    <w:name w:val="heading 9"/>
    <w:basedOn w:val="Normal"/>
    <w:next w:val="Normal"/>
    <w:pPr>
      <w:keepNext/>
      <w:keepLines/>
      <w:spacing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cs="Times New Roman"/>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s="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2ae7b5d-0aac-474b-ae2b-02c331ef2874}" enabled="1" method="Privileged" siteId="{86bcf768-7bcf-4cd6-b041-b219988b7a9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6203</Words>
  <Characters>3537</Characters>
  <Application>Microsoft Office Word</Application>
  <DocSecurity>0</DocSecurity>
  <Lines>29</Lines>
  <Paragraphs>19</Paragraphs>
  <ScaleCrop>false</ScaleCrop>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Stravinskienė</dc:creator>
  <dc:description/>
  <cp:lastModifiedBy>Vytautas Kelevičius</cp:lastModifiedBy>
  <cp:revision>2</cp:revision>
  <dcterms:created xsi:type="dcterms:W3CDTF">2025-11-14T06:18:00Z</dcterms:created>
  <dcterms:modified xsi:type="dcterms:W3CDTF">2025-11-14T06:18:00Z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2025-11-14T06:18:01Z</vt:lpwstr>
  </property>
  <property fmtid="{D5CDD505-2E9C-101B-9397-08002B2CF9AE}" pid="4" name="MSIP_Label_32ae7b5d-0aac-474b-ae2b-02c331ef2874_Method">
    <vt:lpwstr>Standard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3d679338-6c80-4a5e-a0fe-a15af7ef0953</vt:lpwstr>
  </property>
  <property fmtid="{D5CDD505-2E9C-101B-9397-08002B2CF9AE}" pid="8" name="MSIP_Label_32ae7b5d-0aac-474b-ae2b-02c331ef2874_ContentBits">
    <vt:lpwstr>0</vt:lpwstr>
  </property>
</Properties>
</file>